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AA1E5" w14:textId="753F2C6A" w:rsidR="00CA5278" w:rsidRDefault="001607D7" w:rsidP="001607D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Group 3</w:t>
      </w:r>
    </w:p>
    <w:p w14:paraId="794F60BD" w14:textId="453EF2BE" w:rsidR="001607D7" w:rsidRDefault="001607D7" w:rsidP="001607D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OMDE 606 Section 9041</w:t>
      </w:r>
    </w:p>
    <w:p w14:paraId="1397E528" w14:textId="000E207D" w:rsidR="001607D7" w:rsidRDefault="001607D7" w:rsidP="001607D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Assignment 3</w:t>
      </w:r>
    </w:p>
    <w:p w14:paraId="4FB45444" w14:textId="77777777" w:rsidR="000C53B5" w:rsidRDefault="000C53B5" w:rsidP="001607D7">
      <w:pPr>
        <w:spacing w:after="0" w:line="240" w:lineRule="auto"/>
        <w:rPr>
          <w:rFonts w:ascii="Times New Roman" w:eastAsia="Times New Roman" w:hAnsi="Times New Roman" w:cs="Times New Roman"/>
          <w:b/>
          <w:bCs/>
          <w:color w:val="000000"/>
          <w:sz w:val="24"/>
          <w:szCs w:val="24"/>
        </w:rPr>
      </w:pPr>
    </w:p>
    <w:p w14:paraId="0866580C" w14:textId="65FFDA04" w:rsidR="00084401" w:rsidRPr="00084401" w:rsidRDefault="00084401" w:rsidP="001607D7">
      <w:pPr>
        <w:spacing w:after="0" w:line="240" w:lineRule="auto"/>
        <w:rPr>
          <w:rFonts w:ascii="Times New Roman" w:eastAsia="Times New Roman" w:hAnsi="Times New Roman" w:cs="Times New Roman"/>
          <w:b/>
          <w:bCs/>
          <w:color w:val="000000"/>
          <w:sz w:val="24"/>
          <w:szCs w:val="24"/>
        </w:rPr>
      </w:pPr>
      <w:r w:rsidRPr="00084401">
        <w:rPr>
          <w:rFonts w:ascii="Times New Roman" w:eastAsia="Times New Roman" w:hAnsi="Times New Roman" w:cs="Times New Roman"/>
          <w:b/>
          <w:bCs/>
          <w:color w:val="000000"/>
          <w:sz w:val="24"/>
          <w:szCs w:val="24"/>
        </w:rPr>
        <w:t>Participation description</w:t>
      </w:r>
    </w:p>
    <w:p w14:paraId="594C7A62" w14:textId="77777777" w:rsidR="00084401" w:rsidRDefault="00084401" w:rsidP="001607D7">
      <w:pPr>
        <w:spacing w:after="0" w:line="240" w:lineRule="auto"/>
        <w:rPr>
          <w:rFonts w:ascii="Times New Roman" w:eastAsia="Times New Roman" w:hAnsi="Times New Roman" w:cs="Times New Roman"/>
          <w:bCs/>
          <w:color w:val="000000"/>
          <w:sz w:val="24"/>
          <w:szCs w:val="24"/>
        </w:rPr>
      </w:pPr>
    </w:p>
    <w:p w14:paraId="1EECAF55" w14:textId="5D4BDA54" w:rsidR="00BB6C2D" w:rsidRDefault="00BB6C2D" w:rsidP="001607D7">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sidR="000C53B5">
        <w:rPr>
          <w:rFonts w:ascii="Times New Roman" w:eastAsia="Times New Roman" w:hAnsi="Times New Roman" w:cs="Times New Roman"/>
          <w:bCs/>
          <w:color w:val="000000"/>
          <w:sz w:val="24"/>
          <w:szCs w:val="24"/>
        </w:rPr>
        <w:t xml:space="preserve">Team </w:t>
      </w:r>
      <w:r>
        <w:rPr>
          <w:rFonts w:ascii="Times New Roman" w:eastAsia="Times New Roman" w:hAnsi="Times New Roman" w:cs="Times New Roman"/>
          <w:bCs/>
          <w:color w:val="000000"/>
          <w:sz w:val="24"/>
          <w:szCs w:val="24"/>
        </w:rPr>
        <w:t>members were</w:t>
      </w:r>
      <w:r w:rsidR="001607D7">
        <w:rPr>
          <w:rFonts w:ascii="Times New Roman" w:eastAsia="Times New Roman" w:hAnsi="Times New Roman" w:cs="Times New Roman"/>
          <w:bCs/>
          <w:color w:val="000000"/>
          <w:sz w:val="24"/>
          <w:szCs w:val="24"/>
        </w:rPr>
        <w:t xml:space="preserve"> Renee Burrell, Patricia </w:t>
      </w:r>
      <w:proofErr w:type="spellStart"/>
      <w:r w:rsidR="001607D7">
        <w:rPr>
          <w:rFonts w:ascii="Times New Roman" w:eastAsia="Times New Roman" w:hAnsi="Times New Roman" w:cs="Times New Roman"/>
          <w:bCs/>
          <w:color w:val="000000"/>
          <w:sz w:val="24"/>
          <w:szCs w:val="24"/>
        </w:rPr>
        <w:t>Cuffe</w:t>
      </w:r>
      <w:proofErr w:type="spellEnd"/>
      <w:r w:rsidR="001607D7">
        <w:rPr>
          <w:rFonts w:ascii="Times New Roman" w:eastAsia="Times New Roman" w:hAnsi="Times New Roman" w:cs="Times New Roman"/>
          <w:bCs/>
          <w:color w:val="000000"/>
          <w:sz w:val="24"/>
          <w:szCs w:val="24"/>
        </w:rPr>
        <w:t xml:space="preserve">, </w:t>
      </w:r>
      <w:proofErr w:type="spellStart"/>
      <w:r w:rsidR="001607D7">
        <w:rPr>
          <w:rFonts w:ascii="Times New Roman" w:eastAsia="Times New Roman" w:hAnsi="Times New Roman" w:cs="Times New Roman"/>
          <w:bCs/>
          <w:color w:val="000000"/>
          <w:sz w:val="24"/>
          <w:szCs w:val="24"/>
        </w:rPr>
        <w:t>Trena</w:t>
      </w:r>
      <w:proofErr w:type="spellEnd"/>
      <w:r w:rsidR="001607D7">
        <w:rPr>
          <w:rFonts w:ascii="Times New Roman" w:eastAsia="Times New Roman" w:hAnsi="Times New Roman" w:cs="Times New Roman"/>
          <w:bCs/>
          <w:color w:val="000000"/>
          <w:sz w:val="24"/>
          <w:szCs w:val="24"/>
        </w:rPr>
        <w:t xml:space="preserve"> Johnson, Robyn Rogers, </w:t>
      </w:r>
      <w:r>
        <w:rPr>
          <w:rFonts w:ascii="Times New Roman" w:eastAsia="Times New Roman" w:hAnsi="Times New Roman" w:cs="Times New Roman"/>
          <w:bCs/>
          <w:color w:val="000000"/>
          <w:sz w:val="24"/>
          <w:szCs w:val="24"/>
        </w:rPr>
        <w:t xml:space="preserve">and </w:t>
      </w:r>
      <w:r w:rsidR="001607D7">
        <w:rPr>
          <w:rFonts w:ascii="Times New Roman" w:eastAsia="Times New Roman" w:hAnsi="Times New Roman" w:cs="Times New Roman"/>
          <w:bCs/>
          <w:color w:val="000000"/>
          <w:sz w:val="24"/>
          <w:szCs w:val="24"/>
        </w:rPr>
        <w:t>Michael Showers.</w:t>
      </w:r>
      <w:r>
        <w:rPr>
          <w:rFonts w:ascii="Times New Roman" w:eastAsia="Times New Roman" w:hAnsi="Times New Roman" w:cs="Times New Roman"/>
          <w:bCs/>
          <w:color w:val="000000"/>
          <w:sz w:val="24"/>
          <w:szCs w:val="24"/>
        </w:rPr>
        <w:t xml:space="preserve"> </w:t>
      </w:r>
      <w:r w:rsidR="001607D7">
        <w:rPr>
          <w:rFonts w:ascii="Times New Roman" w:eastAsia="Times New Roman" w:hAnsi="Times New Roman" w:cs="Times New Roman"/>
          <w:bCs/>
          <w:color w:val="000000"/>
          <w:sz w:val="24"/>
          <w:szCs w:val="24"/>
        </w:rPr>
        <w:t>Project duties</w:t>
      </w:r>
      <w:r w:rsidR="003452DC">
        <w:rPr>
          <w:rFonts w:ascii="Times New Roman" w:eastAsia="Times New Roman" w:hAnsi="Times New Roman" w:cs="Times New Roman"/>
          <w:bCs/>
          <w:color w:val="000000"/>
          <w:sz w:val="24"/>
          <w:szCs w:val="24"/>
        </w:rPr>
        <w:t xml:space="preserve"> included a d</w:t>
      </w:r>
      <w:r w:rsidR="001607D7">
        <w:rPr>
          <w:rFonts w:ascii="Times New Roman" w:eastAsia="Times New Roman" w:hAnsi="Times New Roman" w:cs="Times New Roman"/>
          <w:bCs/>
          <w:color w:val="000000"/>
          <w:sz w:val="24"/>
          <w:szCs w:val="24"/>
        </w:rPr>
        <w:t xml:space="preserve">escription of the project </w:t>
      </w:r>
      <w:r w:rsidR="003452DC">
        <w:rPr>
          <w:rFonts w:ascii="Times New Roman" w:eastAsia="Times New Roman" w:hAnsi="Times New Roman" w:cs="Times New Roman"/>
          <w:bCs/>
          <w:color w:val="000000"/>
          <w:sz w:val="24"/>
          <w:szCs w:val="24"/>
        </w:rPr>
        <w:t xml:space="preserve">in a </w:t>
      </w:r>
      <w:r w:rsidR="001607D7">
        <w:rPr>
          <w:rFonts w:ascii="Times New Roman" w:eastAsia="Times New Roman" w:hAnsi="Times New Roman" w:cs="Times New Roman"/>
          <w:bCs/>
          <w:color w:val="000000"/>
          <w:sz w:val="24"/>
          <w:szCs w:val="24"/>
        </w:rPr>
        <w:t>text file</w:t>
      </w:r>
      <w:r w:rsidR="003452DC">
        <w:rPr>
          <w:rFonts w:ascii="Times New Roman" w:eastAsia="Times New Roman" w:hAnsi="Times New Roman" w:cs="Times New Roman"/>
          <w:bCs/>
          <w:color w:val="000000"/>
          <w:sz w:val="24"/>
          <w:szCs w:val="24"/>
        </w:rPr>
        <w:t xml:space="preserve"> of approximately 2,000 words including a d</w:t>
      </w:r>
      <w:r w:rsidR="001607D7">
        <w:rPr>
          <w:rFonts w:ascii="Times New Roman" w:eastAsia="Times New Roman" w:hAnsi="Times New Roman" w:cs="Times New Roman"/>
          <w:bCs/>
          <w:color w:val="000000"/>
          <w:sz w:val="24"/>
          <w:szCs w:val="24"/>
        </w:rPr>
        <w:t>escription</w:t>
      </w:r>
      <w:r w:rsidR="003452DC">
        <w:rPr>
          <w:rFonts w:ascii="Times New Roman" w:eastAsia="Times New Roman" w:hAnsi="Times New Roman" w:cs="Times New Roman"/>
          <w:bCs/>
          <w:color w:val="000000"/>
          <w:sz w:val="24"/>
          <w:szCs w:val="24"/>
        </w:rPr>
        <w:t xml:space="preserve"> of the cost analysis findings</w:t>
      </w:r>
      <w:r>
        <w:rPr>
          <w:rFonts w:ascii="Times New Roman" w:eastAsia="Times New Roman" w:hAnsi="Times New Roman" w:cs="Times New Roman"/>
          <w:bCs/>
          <w:color w:val="000000"/>
          <w:sz w:val="24"/>
          <w:szCs w:val="24"/>
        </w:rPr>
        <w:t>; a</w:t>
      </w:r>
      <w:r w:rsidR="001607D7">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recommendation regarding the feasibility of the course based on the cost analysis. This was accomplished by</w:t>
      </w:r>
      <w:r w:rsidR="001607D7">
        <w:rPr>
          <w:rFonts w:ascii="Times New Roman" w:eastAsia="Times New Roman" w:hAnsi="Times New Roman" w:cs="Times New Roman"/>
          <w:bCs/>
          <w:color w:val="000000"/>
          <w:sz w:val="24"/>
          <w:szCs w:val="24"/>
        </w:rPr>
        <w:t xml:space="preserve"> Patricia </w:t>
      </w:r>
      <w:proofErr w:type="spellStart"/>
      <w:r w:rsidR="001607D7">
        <w:rPr>
          <w:rFonts w:ascii="Times New Roman" w:eastAsia="Times New Roman" w:hAnsi="Times New Roman" w:cs="Times New Roman"/>
          <w:bCs/>
          <w:color w:val="000000"/>
          <w:sz w:val="24"/>
          <w:szCs w:val="24"/>
        </w:rPr>
        <w:t>Cuffe</w:t>
      </w:r>
      <w:proofErr w:type="spellEnd"/>
      <w:r w:rsidR="001607D7">
        <w:rPr>
          <w:rFonts w:ascii="Times New Roman" w:eastAsia="Times New Roman" w:hAnsi="Times New Roman" w:cs="Times New Roman"/>
          <w:bCs/>
          <w:color w:val="000000"/>
          <w:sz w:val="24"/>
          <w:szCs w:val="24"/>
        </w:rPr>
        <w:t xml:space="preserve"> and Michael Showers.</w:t>
      </w:r>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Trena</w:t>
      </w:r>
      <w:proofErr w:type="spellEnd"/>
      <w:r>
        <w:rPr>
          <w:rFonts w:ascii="Times New Roman" w:eastAsia="Times New Roman" w:hAnsi="Times New Roman" w:cs="Times New Roman"/>
          <w:bCs/>
          <w:color w:val="000000"/>
          <w:sz w:val="24"/>
          <w:szCs w:val="24"/>
        </w:rPr>
        <w:t xml:space="preserve"> Johnson and Robyn Rogers designed the cost analysis spreadsheet. </w:t>
      </w:r>
      <w:r w:rsidR="000C53B5">
        <w:rPr>
          <w:rFonts w:ascii="Times New Roman" w:eastAsia="Times New Roman" w:hAnsi="Times New Roman" w:cs="Times New Roman"/>
          <w:bCs/>
          <w:color w:val="000000"/>
          <w:sz w:val="24"/>
          <w:szCs w:val="24"/>
        </w:rPr>
        <w:t>Michael Showers edited</w:t>
      </w:r>
      <w:r w:rsidR="00795A10">
        <w:rPr>
          <w:rFonts w:ascii="Times New Roman" w:eastAsia="Times New Roman" w:hAnsi="Times New Roman" w:cs="Times New Roman"/>
          <w:bCs/>
          <w:color w:val="000000"/>
          <w:sz w:val="24"/>
          <w:szCs w:val="24"/>
        </w:rPr>
        <w:t>, checked the calculations,</w:t>
      </w:r>
      <w:r w:rsidR="000C53B5">
        <w:rPr>
          <w:rFonts w:ascii="Times New Roman" w:eastAsia="Times New Roman" w:hAnsi="Times New Roman" w:cs="Times New Roman"/>
          <w:bCs/>
          <w:color w:val="000000"/>
          <w:sz w:val="24"/>
          <w:szCs w:val="24"/>
        </w:rPr>
        <w:t xml:space="preserve"> and contributed to the spreadsheet through construction of the charts. </w:t>
      </w:r>
      <w:r>
        <w:rPr>
          <w:rFonts w:ascii="Times New Roman" w:eastAsia="Times New Roman" w:hAnsi="Times New Roman" w:cs="Times New Roman"/>
          <w:bCs/>
          <w:color w:val="000000"/>
          <w:sz w:val="24"/>
          <w:szCs w:val="24"/>
        </w:rPr>
        <w:t xml:space="preserve">Renee Burrell and Robyn Rogers prepared and designed the </w:t>
      </w:r>
      <w:r w:rsidR="00F13193">
        <w:rPr>
          <w:rFonts w:ascii="Times New Roman" w:eastAsia="Times New Roman" w:hAnsi="Times New Roman" w:cs="Times New Roman"/>
          <w:bCs/>
          <w:color w:val="000000"/>
          <w:sz w:val="24"/>
          <w:szCs w:val="24"/>
        </w:rPr>
        <w:t>PowerPoint and</w:t>
      </w:r>
      <w:r w:rsidR="000C53B5">
        <w:rPr>
          <w:rFonts w:ascii="Times New Roman" w:eastAsia="Times New Roman" w:hAnsi="Times New Roman" w:cs="Times New Roman"/>
          <w:bCs/>
          <w:color w:val="000000"/>
          <w:sz w:val="24"/>
          <w:szCs w:val="24"/>
        </w:rPr>
        <w:t xml:space="preserve"> the associated v</w:t>
      </w:r>
      <w:r>
        <w:rPr>
          <w:rFonts w:ascii="Times New Roman" w:eastAsia="Times New Roman" w:hAnsi="Times New Roman" w:cs="Times New Roman"/>
          <w:bCs/>
          <w:color w:val="000000"/>
          <w:sz w:val="24"/>
          <w:szCs w:val="24"/>
        </w:rPr>
        <w:t>oice-</w:t>
      </w:r>
      <w:r w:rsidR="00F13193">
        <w:rPr>
          <w:rFonts w:ascii="Times New Roman" w:eastAsia="Times New Roman" w:hAnsi="Times New Roman" w:cs="Times New Roman"/>
          <w:bCs/>
          <w:color w:val="000000"/>
          <w:sz w:val="24"/>
          <w:szCs w:val="24"/>
        </w:rPr>
        <w:t>over</w:t>
      </w:r>
      <w:r w:rsidR="000C53B5">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presentation. All members participated in an online organizational meeting and corresponded throughout the process via email.</w:t>
      </w:r>
    </w:p>
    <w:p w14:paraId="53663F18" w14:textId="77777777" w:rsidR="00E622AF" w:rsidRPr="001607D7" w:rsidRDefault="00E622AF" w:rsidP="001607D7">
      <w:pPr>
        <w:spacing w:after="0" w:line="240" w:lineRule="auto"/>
        <w:rPr>
          <w:rFonts w:ascii="Times New Roman" w:eastAsia="Times New Roman" w:hAnsi="Times New Roman" w:cs="Times New Roman"/>
          <w:bCs/>
          <w:color w:val="000000"/>
          <w:sz w:val="24"/>
          <w:szCs w:val="24"/>
        </w:rPr>
      </w:pPr>
    </w:p>
    <w:p w14:paraId="6587391A" w14:textId="7759BF22" w:rsidR="0066040E" w:rsidRPr="003C567B" w:rsidRDefault="0066040E" w:rsidP="0066040E">
      <w:pPr>
        <w:spacing w:after="0" w:line="240" w:lineRule="auto"/>
        <w:jc w:val="center"/>
        <w:rPr>
          <w:rFonts w:ascii="Times New Roman" w:eastAsia="Times New Roman" w:hAnsi="Times New Roman" w:cs="Times New Roman"/>
          <w:bCs/>
          <w:color w:val="000000"/>
          <w:sz w:val="24"/>
          <w:szCs w:val="24"/>
        </w:rPr>
      </w:pPr>
      <w:r w:rsidRPr="003C567B">
        <w:rPr>
          <w:rFonts w:ascii="Times New Roman" w:eastAsia="Times New Roman" w:hAnsi="Times New Roman" w:cs="Times New Roman"/>
          <w:bCs/>
          <w:color w:val="000000"/>
          <w:sz w:val="24"/>
          <w:szCs w:val="24"/>
        </w:rPr>
        <w:t>History of Western Civilization Course Proposal</w:t>
      </w:r>
    </w:p>
    <w:p w14:paraId="6771E9F7" w14:textId="77777777" w:rsidR="008E12F9" w:rsidRDefault="008E12F9" w:rsidP="00187145">
      <w:pPr>
        <w:spacing w:after="0" w:line="240" w:lineRule="auto"/>
        <w:rPr>
          <w:rFonts w:ascii="Times New Roman" w:eastAsia="Times New Roman" w:hAnsi="Times New Roman" w:cs="Times New Roman"/>
          <w:sz w:val="24"/>
          <w:szCs w:val="24"/>
        </w:rPr>
      </w:pPr>
    </w:p>
    <w:p w14:paraId="1186783A" w14:textId="300AF71C" w:rsidR="00EA026E" w:rsidRDefault="00EA026E" w:rsidP="00EA0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6EBEFD5E" w14:textId="77777777" w:rsidR="00EA026E" w:rsidRPr="00EA026E" w:rsidRDefault="00EA026E" w:rsidP="00EA026E">
      <w:pPr>
        <w:spacing w:after="0" w:line="240" w:lineRule="auto"/>
        <w:jc w:val="center"/>
        <w:rPr>
          <w:rFonts w:ascii="Times New Roman" w:eastAsia="Times New Roman" w:hAnsi="Times New Roman" w:cs="Times New Roman"/>
          <w:b/>
          <w:sz w:val="24"/>
          <w:szCs w:val="24"/>
        </w:rPr>
      </w:pPr>
    </w:p>
    <w:p w14:paraId="7265B196" w14:textId="3B8BD91C" w:rsidR="009A7C0F" w:rsidRDefault="008E12F9" w:rsidP="00187145">
      <w:pPr>
        <w:spacing w:after="0" w:line="240" w:lineRule="auto"/>
        <w:rPr>
          <w:rFonts w:ascii="Times New Roman" w:eastAsia="Times New Roman" w:hAnsi="Times New Roman" w:cs="Times New Roman"/>
          <w:color w:val="000000"/>
          <w:sz w:val="24"/>
          <w:szCs w:val="24"/>
        </w:rPr>
      </w:pPr>
      <w:r w:rsidRPr="00432807">
        <w:rPr>
          <w:rFonts w:ascii="Times New Roman" w:eastAsia="Times New Roman" w:hAnsi="Times New Roman" w:cs="Times New Roman"/>
          <w:color w:val="000000"/>
          <w:sz w:val="24"/>
          <w:szCs w:val="24"/>
        </w:rPr>
        <w:t xml:space="preserve">A dual mode DE institution plans to offer an undergraduate course on the </w:t>
      </w:r>
      <w:r w:rsidRPr="00432807">
        <w:rPr>
          <w:rFonts w:ascii="Times New Roman" w:eastAsia="Times New Roman" w:hAnsi="Times New Roman" w:cs="Times New Roman"/>
          <w:b/>
          <w:bCs/>
          <w:color w:val="000000"/>
          <w:sz w:val="24"/>
          <w:szCs w:val="24"/>
        </w:rPr>
        <w:t>History of Western Civilization</w:t>
      </w:r>
      <w:r w:rsidRPr="00432807">
        <w:rPr>
          <w:rFonts w:ascii="Times New Roman" w:eastAsia="Times New Roman" w:hAnsi="Times New Roman" w:cs="Times New Roman"/>
          <w:color w:val="000000"/>
          <w:sz w:val="24"/>
          <w:szCs w:val="24"/>
        </w:rPr>
        <w:t>.  </w:t>
      </w:r>
      <w:r w:rsidR="009A7C0F">
        <w:rPr>
          <w:rFonts w:ascii="Times New Roman" w:eastAsia="Times New Roman" w:hAnsi="Times New Roman" w:cs="Times New Roman"/>
          <w:color w:val="000000"/>
          <w:sz w:val="24"/>
          <w:szCs w:val="24"/>
        </w:rPr>
        <w:t xml:space="preserve"> History of Western Civilization is expected to be an introductory (100 level) course within the History curriculum providing a broad survey of events and personages, beginning with the code of Hammurabi, and culminating with the current conflicts in the Middle East. It will serve as a foundation for the higher level specialized courses offered to the student later in the program. As such, we believe the course will be well attended by </w:t>
      </w:r>
      <w:r w:rsidR="002B1C59">
        <w:rPr>
          <w:rFonts w:ascii="Times New Roman" w:eastAsia="Times New Roman" w:hAnsi="Times New Roman" w:cs="Times New Roman"/>
          <w:color w:val="000000"/>
          <w:sz w:val="24"/>
          <w:szCs w:val="24"/>
        </w:rPr>
        <w:t>freshman</w:t>
      </w:r>
      <w:r w:rsidR="009A7C0F">
        <w:rPr>
          <w:rFonts w:ascii="Times New Roman" w:eastAsia="Times New Roman" w:hAnsi="Times New Roman" w:cs="Times New Roman"/>
          <w:color w:val="000000"/>
          <w:sz w:val="24"/>
          <w:szCs w:val="24"/>
        </w:rPr>
        <w:t xml:space="preserve"> and </w:t>
      </w:r>
      <w:r w:rsidR="002B1C59">
        <w:rPr>
          <w:rFonts w:ascii="Times New Roman" w:eastAsia="Times New Roman" w:hAnsi="Times New Roman" w:cs="Times New Roman"/>
          <w:color w:val="000000"/>
          <w:sz w:val="24"/>
          <w:szCs w:val="24"/>
        </w:rPr>
        <w:t>sophomore</w:t>
      </w:r>
      <w:r w:rsidR="009A7C0F">
        <w:rPr>
          <w:rFonts w:ascii="Times New Roman" w:eastAsia="Times New Roman" w:hAnsi="Times New Roman" w:cs="Times New Roman"/>
          <w:color w:val="000000"/>
          <w:sz w:val="24"/>
          <w:szCs w:val="24"/>
        </w:rPr>
        <w:t xml:space="preserve"> students. </w:t>
      </w:r>
      <w:r w:rsidR="000C53B5">
        <w:rPr>
          <w:rFonts w:ascii="Times New Roman" w:eastAsia="Times New Roman" w:hAnsi="Times New Roman" w:cs="Times New Roman"/>
          <w:color w:val="000000"/>
          <w:sz w:val="24"/>
          <w:szCs w:val="24"/>
        </w:rPr>
        <w:t>If the course is made a curriculum requirement, additional students can be expected to attend.</w:t>
      </w:r>
    </w:p>
    <w:p w14:paraId="300D8504" w14:textId="77777777" w:rsidR="009A7C0F" w:rsidRDefault="009A7C0F" w:rsidP="00187145">
      <w:pPr>
        <w:spacing w:after="0" w:line="240" w:lineRule="auto"/>
        <w:rPr>
          <w:rFonts w:ascii="Times New Roman" w:eastAsia="Times New Roman" w:hAnsi="Times New Roman" w:cs="Times New Roman"/>
          <w:color w:val="000000"/>
          <w:sz w:val="24"/>
          <w:szCs w:val="24"/>
        </w:rPr>
      </w:pPr>
    </w:p>
    <w:p w14:paraId="182987F8" w14:textId="619A35C0" w:rsidR="008E12F9" w:rsidRPr="00432807" w:rsidRDefault="009A7C0F" w:rsidP="00187145">
      <w:pPr>
        <w:spacing w:after="0" w:line="240" w:lineRule="auto"/>
        <w:rPr>
          <w:rFonts w:ascii="Times New Roman" w:eastAsia="Times New Roman" w:hAnsi="Times New Roman" w:cs="Times New Roman"/>
          <w:sz w:val="24"/>
          <w:szCs w:val="24"/>
        </w:rPr>
      </w:pPr>
      <w:r w:rsidRPr="00432807">
        <w:rPr>
          <w:rFonts w:ascii="Times New Roman" w:eastAsia="Times New Roman" w:hAnsi="Times New Roman" w:cs="Times New Roman"/>
          <w:color w:val="000000"/>
          <w:sz w:val="24"/>
          <w:szCs w:val="24"/>
        </w:rPr>
        <w:t xml:space="preserve">The course </w:t>
      </w:r>
      <w:r w:rsidR="000C53B5">
        <w:rPr>
          <w:rFonts w:ascii="Times New Roman" w:eastAsia="Times New Roman" w:hAnsi="Times New Roman" w:cs="Times New Roman"/>
          <w:color w:val="000000"/>
          <w:sz w:val="24"/>
          <w:szCs w:val="24"/>
        </w:rPr>
        <w:t>will be</w:t>
      </w:r>
      <w:r w:rsidRPr="00432807">
        <w:rPr>
          <w:rFonts w:ascii="Times New Roman" w:eastAsia="Times New Roman" w:hAnsi="Times New Roman" w:cs="Times New Roman"/>
          <w:color w:val="000000"/>
          <w:sz w:val="24"/>
          <w:szCs w:val="24"/>
        </w:rPr>
        <w:t xml:space="preserve"> a three-credit course and </w:t>
      </w:r>
      <w:r w:rsidR="000C53B5">
        <w:rPr>
          <w:rFonts w:ascii="Times New Roman" w:eastAsia="Times New Roman" w:hAnsi="Times New Roman" w:cs="Times New Roman"/>
          <w:color w:val="000000"/>
          <w:sz w:val="24"/>
          <w:szCs w:val="24"/>
        </w:rPr>
        <w:t>will require</w:t>
      </w:r>
      <w:r w:rsidRPr="00432807">
        <w:rPr>
          <w:rFonts w:ascii="Times New Roman" w:eastAsia="Times New Roman" w:hAnsi="Times New Roman" w:cs="Times New Roman"/>
          <w:color w:val="000000"/>
          <w:sz w:val="24"/>
          <w:szCs w:val="24"/>
        </w:rPr>
        <w:t xml:space="preserve"> </w:t>
      </w:r>
      <w:r w:rsidRPr="00084401">
        <w:rPr>
          <w:rFonts w:ascii="Times New Roman" w:eastAsia="Times New Roman" w:hAnsi="Times New Roman" w:cs="Times New Roman"/>
          <w:sz w:val="24"/>
          <w:szCs w:val="24"/>
        </w:rPr>
        <w:t>1</w:t>
      </w:r>
      <w:r w:rsidR="00256F87" w:rsidRPr="00084401">
        <w:rPr>
          <w:rFonts w:ascii="Times New Roman" w:eastAsia="Times New Roman" w:hAnsi="Times New Roman" w:cs="Times New Roman"/>
          <w:sz w:val="24"/>
          <w:szCs w:val="24"/>
        </w:rPr>
        <w:t>5</w:t>
      </w:r>
      <w:r w:rsidRPr="00084401">
        <w:rPr>
          <w:rFonts w:ascii="Times New Roman" w:eastAsia="Times New Roman" w:hAnsi="Times New Roman" w:cs="Times New Roman"/>
          <w:sz w:val="24"/>
          <w:szCs w:val="24"/>
        </w:rPr>
        <w:t>0 hours of study time (1</w:t>
      </w:r>
      <w:r w:rsidR="00256F87" w:rsidRPr="00084401">
        <w:rPr>
          <w:rFonts w:ascii="Times New Roman" w:eastAsia="Times New Roman" w:hAnsi="Times New Roman" w:cs="Times New Roman"/>
          <w:sz w:val="24"/>
          <w:szCs w:val="24"/>
        </w:rPr>
        <w:t>5</w:t>
      </w:r>
      <w:r w:rsidRPr="00084401">
        <w:rPr>
          <w:rFonts w:ascii="Times New Roman" w:eastAsia="Times New Roman" w:hAnsi="Times New Roman" w:cs="Times New Roman"/>
          <w:sz w:val="24"/>
          <w:szCs w:val="24"/>
        </w:rPr>
        <w:t xml:space="preserve"> weeks at 10 hours per week).</w:t>
      </w:r>
      <w:r>
        <w:rPr>
          <w:rFonts w:ascii="Times New Roman" w:eastAsia="Times New Roman" w:hAnsi="Times New Roman" w:cs="Times New Roman"/>
          <w:color w:val="000000"/>
          <w:sz w:val="24"/>
          <w:szCs w:val="24"/>
        </w:rPr>
        <w:t xml:space="preserve">  </w:t>
      </w:r>
      <w:r w:rsidR="008E12F9" w:rsidRPr="00432807">
        <w:rPr>
          <w:rFonts w:ascii="Times New Roman" w:eastAsia="Times New Roman" w:hAnsi="Times New Roman" w:cs="Times New Roman"/>
          <w:color w:val="000000"/>
          <w:sz w:val="24"/>
          <w:szCs w:val="24"/>
        </w:rPr>
        <w:t>The course will be offered once a year.</w:t>
      </w:r>
      <w:r w:rsidR="00EF6D93" w:rsidRPr="00432807">
        <w:rPr>
          <w:rFonts w:ascii="Times New Roman" w:eastAsia="Times New Roman" w:hAnsi="Times New Roman" w:cs="Times New Roman"/>
          <w:color w:val="000000"/>
          <w:sz w:val="24"/>
          <w:szCs w:val="24"/>
        </w:rPr>
        <w:t xml:space="preserve"> In addition to the </w:t>
      </w:r>
      <w:r w:rsidR="00FB4AA0" w:rsidRPr="00432807">
        <w:rPr>
          <w:rFonts w:ascii="Times New Roman" w:eastAsia="Times New Roman" w:hAnsi="Times New Roman" w:cs="Times New Roman"/>
          <w:color w:val="000000"/>
          <w:sz w:val="24"/>
          <w:szCs w:val="24"/>
        </w:rPr>
        <w:t xml:space="preserve">provided </w:t>
      </w:r>
      <w:r w:rsidR="00EF6D93" w:rsidRPr="00432807">
        <w:rPr>
          <w:rFonts w:ascii="Times New Roman" w:eastAsia="Times New Roman" w:hAnsi="Times New Roman" w:cs="Times New Roman"/>
          <w:color w:val="000000"/>
          <w:sz w:val="24"/>
          <w:szCs w:val="24"/>
        </w:rPr>
        <w:t xml:space="preserve">course </w:t>
      </w:r>
      <w:r w:rsidR="00FB4AA0" w:rsidRPr="00432807">
        <w:rPr>
          <w:rFonts w:ascii="Times New Roman" w:eastAsia="Times New Roman" w:hAnsi="Times New Roman" w:cs="Times New Roman"/>
          <w:color w:val="000000"/>
          <w:sz w:val="24"/>
          <w:szCs w:val="24"/>
        </w:rPr>
        <w:t>materials</w:t>
      </w:r>
      <w:r w:rsidR="00EF6D93" w:rsidRPr="00432807">
        <w:rPr>
          <w:rFonts w:ascii="Times New Roman" w:eastAsia="Times New Roman" w:hAnsi="Times New Roman" w:cs="Times New Roman"/>
          <w:color w:val="000000"/>
          <w:sz w:val="24"/>
          <w:szCs w:val="24"/>
        </w:rPr>
        <w:t xml:space="preserve">, </w:t>
      </w:r>
      <w:r w:rsidR="00EF6D93" w:rsidRPr="00084401">
        <w:rPr>
          <w:rFonts w:ascii="Times New Roman" w:eastAsia="Times New Roman" w:hAnsi="Times New Roman" w:cs="Times New Roman"/>
          <w:color w:val="000000"/>
          <w:sz w:val="24"/>
          <w:szCs w:val="24"/>
        </w:rPr>
        <w:t>students w</w:t>
      </w:r>
      <w:r w:rsidR="00261C75" w:rsidRPr="00084401">
        <w:rPr>
          <w:rFonts w:ascii="Times New Roman" w:eastAsia="Times New Roman" w:hAnsi="Times New Roman" w:cs="Times New Roman"/>
          <w:color w:val="000000"/>
          <w:sz w:val="24"/>
          <w:szCs w:val="24"/>
        </w:rPr>
        <w:t>ill be required to obtain a text recommended by the course’s consultant professor.</w:t>
      </w:r>
      <w:r w:rsidR="00261C75" w:rsidRPr="00432807">
        <w:rPr>
          <w:rFonts w:ascii="Times New Roman" w:eastAsia="Times New Roman" w:hAnsi="Times New Roman" w:cs="Times New Roman"/>
          <w:color w:val="000000"/>
          <w:sz w:val="24"/>
          <w:szCs w:val="24"/>
        </w:rPr>
        <w:t xml:space="preserve"> </w:t>
      </w:r>
    </w:p>
    <w:p w14:paraId="0C51E367" w14:textId="77777777" w:rsidR="008E12F9" w:rsidRPr="00432807" w:rsidRDefault="008E12F9" w:rsidP="00187145">
      <w:pPr>
        <w:spacing w:after="0" w:line="240" w:lineRule="auto"/>
        <w:rPr>
          <w:rFonts w:ascii="Times New Roman" w:eastAsia="Times New Roman" w:hAnsi="Times New Roman" w:cs="Times New Roman"/>
          <w:sz w:val="24"/>
          <w:szCs w:val="24"/>
        </w:rPr>
      </w:pPr>
    </w:p>
    <w:p w14:paraId="3C8DA3A3" w14:textId="77777777" w:rsidR="008E12F9" w:rsidRPr="003C567B" w:rsidRDefault="008E12F9" w:rsidP="00EA026E">
      <w:pPr>
        <w:spacing w:after="0" w:line="240" w:lineRule="auto"/>
        <w:rPr>
          <w:rFonts w:ascii="Times New Roman" w:eastAsia="Times New Roman" w:hAnsi="Times New Roman" w:cs="Times New Roman"/>
          <w:b/>
          <w:color w:val="000000"/>
          <w:sz w:val="24"/>
          <w:szCs w:val="24"/>
        </w:rPr>
      </w:pPr>
      <w:r w:rsidRPr="003C567B">
        <w:rPr>
          <w:rFonts w:ascii="Times New Roman" w:eastAsia="Times New Roman" w:hAnsi="Times New Roman" w:cs="Times New Roman"/>
          <w:b/>
          <w:color w:val="000000"/>
          <w:sz w:val="24"/>
          <w:szCs w:val="24"/>
        </w:rPr>
        <w:t>Course management</w:t>
      </w:r>
    </w:p>
    <w:p w14:paraId="20CB670E" w14:textId="77777777" w:rsidR="008E12F9" w:rsidRPr="00432807" w:rsidRDefault="008E12F9" w:rsidP="00187145">
      <w:pPr>
        <w:spacing w:after="0" w:line="240" w:lineRule="auto"/>
        <w:rPr>
          <w:rFonts w:ascii="Times New Roman" w:eastAsia="Times New Roman" w:hAnsi="Times New Roman" w:cs="Times New Roman"/>
          <w:sz w:val="24"/>
          <w:szCs w:val="24"/>
        </w:rPr>
      </w:pPr>
    </w:p>
    <w:p w14:paraId="363D3876" w14:textId="0069588C" w:rsidR="008E12F9" w:rsidRPr="00432807" w:rsidRDefault="008E12F9" w:rsidP="00187145">
      <w:pPr>
        <w:spacing w:after="0" w:line="240" w:lineRule="auto"/>
        <w:rPr>
          <w:rFonts w:ascii="Times New Roman" w:eastAsia="Times New Roman" w:hAnsi="Times New Roman" w:cs="Times New Roman"/>
          <w:color w:val="000000"/>
          <w:sz w:val="24"/>
          <w:szCs w:val="24"/>
        </w:rPr>
      </w:pPr>
      <w:r w:rsidRPr="00432807">
        <w:rPr>
          <w:rFonts w:ascii="Times New Roman" w:eastAsia="Times New Roman" w:hAnsi="Times New Roman" w:cs="Times New Roman"/>
          <w:color w:val="000000"/>
          <w:sz w:val="24"/>
          <w:szCs w:val="24"/>
        </w:rPr>
        <w:t xml:space="preserve">The course development process is expected to take place over </w:t>
      </w:r>
      <w:r w:rsidR="00016ECE">
        <w:rPr>
          <w:rFonts w:ascii="Times New Roman" w:eastAsia="Times New Roman" w:hAnsi="Times New Roman" w:cs="Times New Roman"/>
          <w:b/>
          <w:bCs/>
          <w:color w:val="000000"/>
          <w:sz w:val="24"/>
          <w:szCs w:val="24"/>
        </w:rPr>
        <w:t>one</w:t>
      </w:r>
      <w:r w:rsidRPr="00432807">
        <w:rPr>
          <w:rFonts w:ascii="Times New Roman" w:eastAsia="Times New Roman" w:hAnsi="Times New Roman" w:cs="Times New Roman"/>
          <w:b/>
          <w:bCs/>
          <w:color w:val="000000"/>
          <w:sz w:val="24"/>
          <w:szCs w:val="24"/>
        </w:rPr>
        <w:t xml:space="preserve"> </w:t>
      </w:r>
      <w:r w:rsidR="00016ECE">
        <w:rPr>
          <w:rFonts w:ascii="Times New Roman" w:eastAsia="Times New Roman" w:hAnsi="Times New Roman" w:cs="Times New Roman"/>
          <w:color w:val="000000"/>
          <w:sz w:val="24"/>
          <w:szCs w:val="24"/>
        </w:rPr>
        <w:t>year</w:t>
      </w:r>
      <w:r w:rsidRPr="00432807">
        <w:rPr>
          <w:rFonts w:ascii="Times New Roman" w:eastAsia="Times New Roman" w:hAnsi="Times New Roman" w:cs="Times New Roman"/>
          <w:color w:val="000000"/>
          <w:sz w:val="24"/>
          <w:szCs w:val="24"/>
        </w:rPr>
        <w:t xml:space="preserve">. During this time, it is </w:t>
      </w:r>
      <w:proofErr w:type="gramStart"/>
      <w:r w:rsidRPr="00432807">
        <w:rPr>
          <w:rFonts w:ascii="Times New Roman" w:eastAsia="Times New Roman" w:hAnsi="Times New Roman" w:cs="Times New Roman"/>
          <w:color w:val="000000"/>
          <w:sz w:val="24"/>
          <w:szCs w:val="24"/>
        </w:rPr>
        <w:t>anticipated</w:t>
      </w:r>
      <w:proofErr w:type="gramEnd"/>
      <w:r w:rsidRPr="00432807">
        <w:rPr>
          <w:rFonts w:ascii="Times New Roman" w:eastAsia="Times New Roman" w:hAnsi="Times New Roman" w:cs="Times New Roman"/>
          <w:color w:val="000000"/>
          <w:sz w:val="24"/>
          <w:szCs w:val="24"/>
        </w:rPr>
        <w:t xml:space="preserve"> that </w:t>
      </w:r>
      <w:r w:rsidRPr="00432807">
        <w:rPr>
          <w:rFonts w:ascii="Times New Roman" w:eastAsia="Times New Roman" w:hAnsi="Times New Roman" w:cs="Times New Roman"/>
          <w:b/>
          <w:bCs/>
          <w:color w:val="000000"/>
          <w:sz w:val="24"/>
          <w:szCs w:val="24"/>
        </w:rPr>
        <w:t>one fifth</w:t>
      </w:r>
      <w:r w:rsidRPr="00432807">
        <w:rPr>
          <w:rFonts w:ascii="Times New Roman" w:eastAsia="Times New Roman" w:hAnsi="Times New Roman" w:cs="Times New Roman"/>
          <w:color w:val="000000"/>
          <w:sz w:val="24"/>
          <w:szCs w:val="24"/>
        </w:rPr>
        <w:t xml:space="preserve"> of the per annum staff-time of a course manager and </w:t>
      </w:r>
      <w:r w:rsidRPr="00432807">
        <w:rPr>
          <w:rFonts w:ascii="Times New Roman" w:eastAsia="Times New Roman" w:hAnsi="Times New Roman" w:cs="Times New Roman"/>
          <w:b/>
          <w:bCs/>
          <w:color w:val="000000"/>
          <w:sz w:val="24"/>
          <w:szCs w:val="24"/>
        </w:rPr>
        <w:t>a full time</w:t>
      </w:r>
      <w:r w:rsidR="00256F87">
        <w:rPr>
          <w:rFonts w:ascii="Times New Roman" w:eastAsia="Times New Roman" w:hAnsi="Times New Roman" w:cs="Times New Roman"/>
          <w:color w:val="000000"/>
          <w:sz w:val="24"/>
          <w:szCs w:val="24"/>
        </w:rPr>
        <w:t xml:space="preserve"> commitment of a secretary</w:t>
      </w:r>
      <w:r w:rsidRPr="00432807">
        <w:rPr>
          <w:rFonts w:ascii="Times New Roman" w:eastAsia="Times New Roman" w:hAnsi="Times New Roman" w:cs="Times New Roman"/>
          <w:color w:val="000000"/>
          <w:sz w:val="24"/>
          <w:szCs w:val="24"/>
        </w:rPr>
        <w:t xml:space="preserve"> will be required. The expected life of the course is </w:t>
      </w:r>
      <w:r w:rsidR="00256F87">
        <w:rPr>
          <w:rFonts w:ascii="Times New Roman" w:eastAsia="Times New Roman" w:hAnsi="Times New Roman" w:cs="Times New Roman"/>
          <w:color w:val="000000"/>
          <w:sz w:val="24"/>
          <w:szCs w:val="24"/>
        </w:rPr>
        <w:t>ten</w:t>
      </w:r>
      <w:r w:rsidRPr="00432807">
        <w:rPr>
          <w:rFonts w:ascii="Times New Roman" w:eastAsia="Times New Roman" w:hAnsi="Times New Roman" w:cs="Times New Roman"/>
          <w:color w:val="000000"/>
          <w:sz w:val="24"/>
          <w:szCs w:val="24"/>
        </w:rPr>
        <w:t xml:space="preserve"> years. During that period, it will continue to require the commitment of one/half of a work year</w:t>
      </w:r>
      <w:r w:rsidR="00016ECE">
        <w:rPr>
          <w:rFonts w:ascii="Times New Roman" w:eastAsia="Times New Roman" w:hAnsi="Times New Roman" w:cs="Times New Roman"/>
          <w:color w:val="000000"/>
          <w:sz w:val="24"/>
          <w:szCs w:val="24"/>
        </w:rPr>
        <w:t xml:space="preserve"> each</w:t>
      </w:r>
      <w:r w:rsidRPr="00432807">
        <w:rPr>
          <w:rFonts w:ascii="Times New Roman" w:eastAsia="Times New Roman" w:hAnsi="Times New Roman" w:cs="Times New Roman"/>
          <w:color w:val="000000"/>
          <w:sz w:val="24"/>
          <w:szCs w:val="24"/>
        </w:rPr>
        <w:t xml:space="preserve"> for a manager and the secretary. </w:t>
      </w:r>
    </w:p>
    <w:p w14:paraId="65ABDF6E" w14:textId="77777777" w:rsidR="008E12F9" w:rsidRPr="00432807" w:rsidRDefault="008E12F9" w:rsidP="00187145">
      <w:pPr>
        <w:spacing w:after="0" w:line="240" w:lineRule="auto"/>
        <w:rPr>
          <w:rFonts w:ascii="Times New Roman" w:eastAsia="Times New Roman" w:hAnsi="Times New Roman" w:cs="Times New Roman"/>
          <w:sz w:val="24"/>
          <w:szCs w:val="24"/>
        </w:rPr>
      </w:pPr>
    </w:p>
    <w:p w14:paraId="785A5AD1" w14:textId="77777777" w:rsidR="009F05DE" w:rsidRDefault="009F05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0DA773A1" w14:textId="50C3888D" w:rsidR="008E12F9" w:rsidRPr="003C567B" w:rsidRDefault="00D67AB3" w:rsidP="00EA026E">
      <w:pPr>
        <w:spacing w:after="0" w:line="240" w:lineRule="auto"/>
        <w:rPr>
          <w:rFonts w:ascii="Times New Roman" w:eastAsia="Times New Roman" w:hAnsi="Times New Roman" w:cs="Times New Roman"/>
          <w:b/>
          <w:color w:val="000000"/>
          <w:sz w:val="24"/>
          <w:szCs w:val="24"/>
        </w:rPr>
      </w:pPr>
      <w:r w:rsidRPr="003C567B">
        <w:rPr>
          <w:rFonts w:ascii="Times New Roman" w:eastAsia="Times New Roman" w:hAnsi="Times New Roman" w:cs="Times New Roman"/>
          <w:b/>
          <w:color w:val="000000"/>
          <w:sz w:val="24"/>
          <w:szCs w:val="24"/>
        </w:rPr>
        <w:lastRenderedPageBreak/>
        <w:t xml:space="preserve">Development and Production of </w:t>
      </w:r>
      <w:r w:rsidR="008E12F9" w:rsidRPr="003C567B">
        <w:rPr>
          <w:rFonts w:ascii="Times New Roman" w:eastAsia="Times New Roman" w:hAnsi="Times New Roman" w:cs="Times New Roman"/>
          <w:b/>
          <w:color w:val="000000"/>
          <w:sz w:val="24"/>
          <w:szCs w:val="24"/>
        </w:rPr>
        <w:t xml:space="preserve">Course </w:t>
      </w:r>
      <w:r w:rsidRPr="003C567B">
        <w:rPr>
          <w:rFonts w:ascii="Times New Roman" w:eastAsia="Times New Roman" w:hAnsi="Times New Roman" w:cs="Times New Roman"/>
          <w:b/>
          <w:color w:val="000000"/>
          <w:sz w:val="24"/>
          <w:szCs w:val="24"/>
        </w:rPr>
        <w:t>M</w:t>
      </w:r>
      <w:r w:rsidR="008E12F9" w:rsidRPr="003C567B">
        <w:rPr>
          <w:rFonts w:ascii="Times New Roman" w:eastAsia="Times New Roman" w:hAnsi="Times New Roman" w:cs="Times New Roman"/>
          <w:b/>
          <w:color w:val="000000"/>
          <w:sz w:val="24"/>
          <w:szCs w:val="24"/>
        </w:rPr>
        <w:t>aterial</w:t>
      </w:r>
    </w:p>
    <w:p w14:paraId="6C0B93D8" w14:textId="77777777" w:rsidR="008E12F9" w:rsidRPr="00432807" w:rsidRDefault="008E12F9" w:rsidP="00187145">
      <w:pPr>
        <w:spacing w:after="0" w:line="240" w:lineRule="auto"/>
        <w:rPr>
          <w:rFonts w:ascii="Times New Roman" w:eastAsia="Times New Roman" w:hAnsi="Times New Roman" w:cs="Times New Roman"/>
          <w:sz w:val="24"/>
          <w:szCs w:val="24"/>
        </w:rPr>
      </w:pPr>
    </w:p>
    <w:p w14:paraId="1333B3B1" w14:textId="4AD7D828" w:rsidR="00C2459C" w:rsidRPr="00432807" w:rsidRDefault="00EA026E" w:rsidP="001871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E12F9" w:rsidRPr="00432807">
        <w:rPr>
          <w:rFonts w:ascii="Times New Roman" w:eastAsia="Times New Roman" w:hAnsi="Times New Roman" w:cs="Times New Roman"/>
          <w:color w:val="000000"/>
          <w:sz w:val="24"/>
          <w:szCs w:val="24"/>
        </w:rPr>
        <w:t>The course is designed to be primarily print-based. The course material is written by a consultant</w:t>
      </w:r>
      <w:r w:rsidR="00397E56" w:rsidRPr="00432807">
        <w:rPr>
          <w:rFonts w:ascii="Times New Roman" w:eastAsia="Times New Roman" w:hAnsi="Times New Roman" w:cs="Times New Roman"/>
          <w:color w:val="000000"/>
          <w:sz w:val="24"/>
          <w:szCs w:val="24"/>
        </w:rPr>
        <w:t xml:space="preserve"> professor</w:t>
      </w:r>
      <w:r w:rsidR="008E12F9" w:rsidRPr="00432807">
        <w:rPr>
          <w:rFonts w:ascii="Times New Roman" w:eastAsia="Times New Roman" w:hAnsi="Times New Roman" w:cs="Times New Roman"/>
          <w:color w:val="000000"/>
          <w:sz w:val="24"/>
          <w:szCs w:val="24"/>
        </w:rPr>
        <w:t>, who is an expert in the field. It consists of</w:t>
      </w:r>
      <w:r w:rsidR="008E12F9" w:rsidRPr="00432807">
        <w:rPr>
          <w:rFonts w:ascii="Times New Roman" w:eastAsia="Times New Roman" w:hAnsi="Times New Roman" w:cs="Times New Roman"/>
          <w:b/>
          <w:bCs/>
          <w:color w:val="000000"/>
          <w:sz w:val="24"/>
          <w:szCs w:val="24"/>
        </w:rPr>
        <w:t xml:space="preserve"> fifteen </w:t>
      </w:r>
      <w:r w:rsidR="008E12F9" w:rsidRPr="00432807">
        <w:rPr>
          <w:rFonts w:ascii="Times New Roman" w:eastAsia="Times New Roman" w:hAnsi="Times New Roman" w:cs="Times New Roman"/>
          <w:color w:val="000000"/>
          <w:sz w:val="24"/>
          <w:szCs w:val="24"/>
        </w:rPr>
        <w:t xml:space="preserve">study guides of 25 pages each, representing different periods of history and </w:t>
      </w:r>
      <w:r w:rsidR="00C2459C" w:rsidRPr="00432807">
        <w:rPr>
          <w:rFonts w:ascii="Times New Roman" w:eastAsia="Times New Roman" w:hAnsi="Times New Roman" w:cs="Times New Roman"/>
          <w:color w:val="000000"/>
          <w:sz w:val="24"/>
          <w:szCs w:val="24"/>
        </w:rPr>
        <w:t xml:space="preserve">roughly </w:t>
      </w:r>
      <w:r w:rsidR="008E12F9" w:rsidRPr="00432807">
        <w:rPr>
          <w:rFonts w:ascii="Times New Roman" w:eastAsia="Times New Roman" w:hAnsi="Times New Roman" w:cs="Times New Roman"/>
          <w:color w:val="000000"/>
          <w:sz w:val="24"/>
          <w:szCs w:val="24"/>
        </w:rPr>
        <w:t xml:space="preserve">corresponding to the weeks </w:t>
      </w:r>
      <w:r w:rsidR="00C2459C" w:rsidRPr="00432807">
        <w:rPr>
          <w:rFonts w:ascii="Times New Roman" w:eastAsia="Times New Roman" w:hAnsi="Times New Roman" w:cs="Times New Roman"/>
          <w:color w:val="000000"/>
          <w:sz w:val="24"/>
          <w:szCs w:val="24"/>
        </w:rPr>
        <w:t>in which the course is offered.</w:t>
      </w:r>
      <w:r w:rsidR="00261C75" w:rsidRPr="00432807">
        <w:rPr>
          <w:rFonts w:ascii="Times New Roman" w:eastAsia="Times New Roman" w:hAnsi="Times New Roman" w:cs="Times New Roman"/>
          <w:color w:val="000000"/>
          <w:sz w:val="24"/>
          <w:szCs w:val="24"/>
        </w:rPr>
        <w:t xml:space="preserve"> </w:t>
      </w:r>
    </w:p>
    <w:p w14:paraId="41814845" w14:textId="77777777" w:rsidR="00C2459C" w:rsidRPr="00432807" w:rsidRDefault="00C2459C" w:rsidP="00187145">
      <w:pPr>
        <w:spacing w:after="0" w:line="240" w:lineRule="auto"/>
        <w:rPr>
          <w:rFonts w:ascii="Times New Roman" w:eastAsia="Times New Roman" w:hAnsi="Times New Roman" w:cs="Times New Roman"/>
          <w:color w:val="000000"/>
          <w:sz w:val="24"/>
          <w:szCs w:val="24"/>
        </w:rPr>
      </w:pPr>
    </w:p>
    <w:p w14:paraId="17BE5709" w14:textId="77777777" w:rsidR="00D67AB3" w:rsidRPr="003C567B" w:rsidRDefault="00D67AB3" w:rsidP="00EA026E">
      <w:pPr>
        <w:spacing w:after="0" w:line="240" w:lineRule="auto"/>
        <w:rPr>
          <w:rFonts w:ascii="Times New Roman" w:eastAsia="Times New Roman" w:hAnsi="Times New Roman" w:cs="Times New Roman"/>
          <w:b/>
          <w:color w:val="000000"/>
          <w:sz w:val="24"/>
          <w:szCs w:val="24"/>
        </w:rPr>
      </w:pPr>
      <w:r w:rsidRPr="003C567B">
        <w:rPr>
          <w:rFonts w:ascii="Times New Roman" w:eastAsia="Times New Roman" w:hAnsi="Times New Roman" w:cs="Times New Roman"/>
          <w:b/>
          <w:color w:val="000000"/>
          <w:sz w:val="24"/>
          <w:szCs w:val="24"/>
        </w:rPr>
        <w:t>Maintenance of Course Material</w:t>
      </w:r>
    </w:p>
    <w:p w14:paraId="7C1DB12F" w14:textId="77777777" w:rsidR="00D67AB3" w:rsidRPr="00432807" w:rsidRDefault="00D67AB3" w:rsidP="00187145">
      <w:pPr>
        <w:spacing w:after="0" w:line="240" w:lineRule="auto"/>
        <w:rPr>
          <w:rFonts w:ascii="Times New Roman" w:eastAsia="Times New Roman" w:hAnsi="Times New Roman" w:cs="Times New Roman"/>
          <w:color w:val="000000"/>
          <w:sz w:val="24"/>
          <w:szCs w:val="24"/>
          <w:u w:val="single"/>
        </w:rPr>
      </w:pPr>
    </w:p>
    <w:p w14:paraId="1A234BC4" w14:textId="092DDF6E" w:rsidR="008E12F9" w:rsidRPr="00432807" w:rsidRDefault="003C567B" w:rsidP="001871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last four</w:t>
      </w:r>
      <w:r w:rsidR="00C2459C" w:rsidRPr="00432807">
        <w:rPr>
          <w:rFonts w:ascii="Times New Roman" w:eastAsia="Times New Roman" w:hAnsi="Times New Roman" w:cs="Times New Roman"/>
          <w:color w:val="000000"/>
          <w:sz w:val="24"/>
          <w:szCs w:val="24"/>
        </w:rPr>
        <w:t xml:space="preserve"> study guides will </w:t>
      </w:r>
      <w:r>
        <w:rPr>
          <w:rFonts w:ascii="Times New Roman" w:eastAsia="Times New Roman" w:hAnsi="Times New Roman" w:cs="Times New Roman"/>
          <w:color w:val="000000"/>
          <w:sz w:val="24"/>
          <w:szCs w:val="24"/>
        </w:rPr>
        <w:t>be updated in the fifth year to</w:t>
      </w:r>
      <w:r w:rsidRPr="00432807">
        <w:rPr>
          <w:rFonts w:ascii="Times New Roman" w:eastAsia="Times New Roman" w:hAnsi="Times New Roman" w:cs="Times New Roman"/>
          <w:color w:val="000000"/>
          <w:sz w:val="24"/>
          <w:szCs w:val="24"/>
        </w:rPr>
        <w:t xml:space="preserve"> maintain currency of information</w:t>
      </w:r>
      <w:r>
        <w:rPr>
          <w:rFonts w:ascii="Times New Roman" w:eastAsia="Times New Roman" w:hAnsi="Times New Roman" w:cs="Times New Roman"/>
          <w:color w:val="000000"/>
          <w:sz w:val="24"/>
          <w:szCs w:val="24"/>
        </w:rPr>
        <w:t>, to</w:t>
      </w:r>
      <w:r w:rsidRPr="00432807">
        <w:rPr>
          <w:rFonts w:ascii="Times New Roman" w:eastAsia="Times New Roman" w:hAnsi="Times New Roman" w:cs="Times New Roman"/>
          <w:color w:val="000000"/>
          <w:sz w:val="24"/>
          <w:szCs w:val="24"/>
        </w:rPr>
        <w:t xml:space="preserve"> </w:t>
      </w:r>
      <w:r w:rsidR="00C2459C" w:rsidRPr="00432807">
        <w:rPr>
          <w:rFonts w:ascii="Times New Roman" w:eastAsia="Times New Roman" w:hAnsi="Times New Roman" w:cs="Times New Roman"/>
          <w:color w:val="000000"/>
          <w:sz w:val="24"/>
          <w:szCs w:val="24"/>
        </w:rPr>
        <w:t>accommodate changes related to current events</w:t>
      </w:r>
      <w:r>
        <w:rPr>
          <w:rFonts w:ascii="Times New Roman" w:eastAsia="Times New Roman" w:hAnsi="Times New Roman" w:cs="Times New Roman"/>
          <w:color w:val="000000"/>
          <w:sz w:val="24"/>
          <w:szCs w:val="24"/>
        </w:rPr>
        <w:t>,</w:t>
      </w:r>
      <w:r w:rsidR="00397E56" w:rsidRPr="00432807">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to present </w:t>
      </w:r>
      <w:r w:rsidR="00397E56" w:rsidRPr="00432807">
        <w:rPr>
          <w:rFonts w:ascii="Times New Roman" w:eastAsia="Times New Roman" w:hAnsi="Times New Roman" w:cs="Times New Roman"/>
          <w:color w:val="000000"/>
          <w:sz w:val="24"/>
          <w:szCs w:val="24"/>
        </w:rPr>
        <w:t xml:space="preserve">new </w:t>
      </w:r>
      <w:r w:rsidR="0030278B" w:rsidRPr="00432807">
        <w:rPr>
          <w:rFonts w:ascii="Times New Roman" w:eastAsia="Times New Roman" w:hAnsi="Times New Roman" w:cs="Times New Roman"/>
          <w:color w:val="000000"/>
          <w:sz w:val="24"/>
          <w:szCs w:val="24"/>
        </w:rPr>
        <w:t>findings</w:t>
      </w:r>
      <w:r w:rsidR="00397E56" w:rsidRPr="00432807">
        <w:rPr>
          <w:rFonts w:ascii="Times New Roman" w:eastAsia="Times New Roman" w:hAnsi="Times New Roman" w:cs="Times New Roman"/>
          <w:color w:val="000000"/>
          <w:sz w:val="24"/>
          <w:szCs w:val="24"/>
        </w:rPr>
        <w:t xml:space="preserve"> in the </w:t>
      </w:r>
      <w:r w:rsidR="0030278B" w:rsidRPr="00432807">
        <w:rPr>
          <w:rFonts w:ascii="Times New Roman" w:eastAsia="Times New Roman" w:hAnsi="Times New Roman" w:cs="Times New Roman"/>
          <w:color w:val="000000"/>
          <w:sz w:val="24"/>
          <w:szCs w:val="24"/>
        </w:rPr>
        <w:t>discipline</w:t>
      </w:r>
      <w:r w:rsidR="00C2459C" w:rsidRPr="00432807">
        <w:rPr>
          <w:rFonts w:ascii="Times New Roman" w:eastAsia="Times New Roman" w:hAnsi="Times New Roman" w:cs="Times New Roman"/>
          <w:color w:val="000000"/>
          <w:sz w:val="24"/>
          <w:szCs w:val="24"/>
        </w:rPr>
        <w:t xml:space="preserve">. </w:t>
      </w:r>
      <w:r w:rsidR="0030278B" w:rsidRPr="00432807">
        <w:rPr>
          <w:rFonts w:ascii="Times New Roman" w:eastAsia="Times New Roman" w:hAnsi="Times New Roman" w:cs="Times New Roman"/>
          <w:color w:val="000000"/>
          <w:sz w:val="24"/>
          <w:szCs w:val="24"/>
        </w:rPr>
        <w:t xml:space="preserve">The update will require the participation of the original author, as well as assistance in editing and design of the guides. </w:t>
      </w:r>
      <w:r>
        <w:rPr>
          <w:rFonts w:ascii="Times New Roman" w:eastAsia="Times New Roman" w:hAnsi="Times New Roman" w:cs="Times New Roman"/>
          <w:color w:val="000000"/>
          <w:sz w:val="24"/>
          <w:szCs w:val="24"/>
        </w:rPr>
        <w:t>In-house library resources will again be used to obtain c</w:t>
      </w:r>
      <w:r w:rsidR="0030278B" w:rsidRPr="00432807">
        <w:rPr>
          <w:rFonts w:ascii="Times New Roman" w:eastAsia="Times New Roman" w:hAnsi="Times New Roman" w:cs="Times New Roman"/>
          <w:color w:val="000000"/>
          <w:sz w:val="24"/>
          <w:szCs w:val="24"/>
        </w:rPr>
        <w:t>opyright clearance</w:t>
      </w:r>
      <w:r>
        <w:rPr>
          <w:rFonts w:ascii="Times New Roman" w:eastAsia="Times New Roman" w:hAnsi="Times New Roman" w:cs="Times New Roman"/>
          <w:color w:val="000000"/>
          <w:sz w:val="24"/>
          <w:szCs w:val="24"/>
        </w:rPr>
        <w:t xml:space="preserve"> </w:t>
      </w:r>
      <w:r w:rsidR="0030278B" w:rsidRPr="00432807">
        <w:rPr>
          <w:rFonts w:ascii="Times New Roman" w:eastAsia="Times New Roman" w:hAnsi="Times New Roman" w:cs="Times New Roman"/>
          <w:color w:val="000000"/>
          <w:sz w:val="24"/>
          <w:szCs w:val="24"/>
        </w:rPr>
        <w:t>for each of the guides</w:t>
      </w:r>
      <w:r>
        <w:rPr>
          <w:rFonts w:ascii="Times New Roman" w:eastAsia="Times New Roman" w:hAnsi="Times New Roman" w:cs="Times New Roman"/>
          <w:color w:val="000000"/>
          <w:sz w:val="24"/>
          <w:szCs w:val="24"/>
        </w:rPr>
        <w:t>.</w:t>
      </w:r>
      <w:r w:rsidR="0030278B" w:rsidRPr="00432807">
        <w:rPr>
          <w:rFonts w:ascii="Times New Roman" w:eastAsia="Times New Roman" w:hAnsi="Times New Roman" w:cs="Times New Roman"/>
          <w:color w:val="000000"/>
          <w:sz w:val="24"/>
          <w:szCs w:val="24"/>
        </w:rPr>
        <w:t xml:space="preserve"> It is anticipated that f</w:t>
      </w:r>
      <w:r w:rsidR="00C2459C" w:rsidRPr="00432807">
        <w:rPr>
          <w:rFonts w:ascii="Times New Roman" w:eastAsia="Times New Roman" w:hAnsi="Times New Roman" w:cs="Times New Roman"/>
          <w:color w:val="000000"/>
          <w:sz w:val="24"/>
          <w:szCs w:val="24"/>
        </w:rPr>
        <w:t>our of the study guides will require</w:t>
      </w:r>
      <w:r w:rsidR="00397E56" w:rsidRPr="00432807">
        <w:rPr>
          <w:rFonts w:ascii="Times New Roman" w:eastAsia="Times New Roman" w:hAnsi="Times New Roman" w:cs="Times New Roman"/>
          <w:color w:val="000000"/>
          <w:sz w:val="24"/>
          <w:szCs w:val="24"/>
        </w:rPr>
        <w:t xml:space="preserve"> such an</w:t>
      </w:r>
      <w:r w:rsidR="00C2459C" w:rsidRPr="00432807">
        <w:rPr>
          <w:rFonts w:ascii="Times New Roman" w:eastAsia="Times New Roman" w:hAnsi="Times New Roman" w:cs="Times New Roman"/>
          <w:color w:val="000000"/>
          <w:sz w:val="24"/>
          <w:szCs w:val="24"/>
        </w:rPr>
        <w:t xml:space="preserve"> update. A portion of the proposed budget has been allocated to accomplish this task. </w:t>
      </w:r>
      <w:r>
        <w:rPr>
          <w:rFonts w:ascii="Times New Roman" w:eastAsia="Times New Roman" w:hAnsi="Times New Roman" w:cs="Times New Roman"/>
          <w:color w:val="000000"/>
          <w:sz w:val="24"/>
          <w:szCs w:val="24"/>
        </w:rPr>
        <w:t>The expected</w:t>
      </w:r>
      <w:r w:rsidR="00C2459C" w:rsidRPr="00432807">
        <w:rPr>
          <w:rFonts w:ascii="Times New Roman" w:eastAsia="Times New Roman" w:hAnsi="Times New Roman" w:cs="Times New Roman"/>
          <w:color w:val="000000"/>
          <w:sz w:val="24"/>
          <w:szCs w:val="24"/>
        </w:rPr>
        <w:t xml:space="preserve"> maintenance is capitalized and depreciated over the remaining </w:t>
      </w:r>
      <w:r>
        <w:rPr>
          <w:rFonts w:ascii="Times New Roman" w:eastAsia="Times New Roman" w:hAnsi="Times New Roman" w:cs="Times New Roman"/>
          <w:color w:val="000000"/>
          <w:sz w:val="24"/>
          <w:szCs w:val="24"/>
        </w:rPr>
        <w:t>five</w:t>
      </w:r>
      <w:r w:rsidR="00C2459C" w:rsidRPr="00432807">
        <w:rPr>
          <w:rFonts w:ascii="Times New Roman" w:eastAsia="Times New Roman" w:hAnsi="Times New Roman" w:cs="Times New Roman"/>
          <w:color w:val="000000"/>
          <w:sz w:val="24"/>
          <w:szCs w:val="24"/>
        </w:rPr>
        <w:t xml:space="preserve"> years of the course. </w:t>
      </w:r>
    </w:p>
    <w:p w14:paraId="571E6310" w14:textId="77777777" w:rsidR="008E12F9" w:rsidRPr="00432807" w:rsidRDefault="008E12F9" w:rsidP="00187145">
      <w:pPr>
        <w:spacing w:after="0" w:line="240" w:lineRule="auto"/>
        <w:rPr>
          <w:rFonts w:ascii="Times New Roman" w:eastAsia="Times New Roman" w:hAnsi="Times New Roman" w:cs="Times New Roman"/>
          <w:sz w:val="24"/>
          <w:szCs w:val="24"/>
        </w:rPr>
      </w:pPr>
    </w:p>
    <w:p w14:paraId="43CB33E1" w14:textId="77777777" w:rsidR="008E12F9" w:rsidRPr="003C567B" w:rsidRDefault="008E12F9" w:rsidP="00EA026E">
      <w:pPr>
        <w:spacing w:after="0" w:line="240" w:lineRule="auto"/>
        <w:rPr>
          <w:rFonts w:ascii="Times New Roman" w:eastAsia="Times New Roman" w:hAnsi="Times New Roman" w:cs="Times New Roman"/>
          <w:b/>
          <w:color w:val="000000"/>
          <w:sz w:val="24"/>
          <w:szCs w:val="24"/>
        </w:rPr>
      </w:pPr>
      <w:r w:rsidRPr="003C567B">
        <w:rPr>
          <w:rFonts w:ascii="Times New Roman" w:eastAsia="Times New Roman" w:hAnsi="Times New Roman" w:cs="Times New Roman"/>
          <w:b/>
          <w:color w:val="000000"/>
          <w:sz w:val="24"/>
          <w:szCs w:val="24"/>
        </w:rPr>
        <w:t>Student support</w:t>
      </w:r>
      <w:r w:rsidR="0030278B" w:rsidRPr="003C567B">
        <w:rPr>
          <w:rFonts w:ascii="Times New Roman" w:eastAsia="Times New Roman" w:hAnsi="Times New Roman" w:cs="Times New Roman"/>
          <w:b/>
          <w:color w:val="000000"/>
          <w:sz w:val="24"/>
          <w:szCs w:val="24"/>
        </w:rPr>
        <w:t xml:space="preserve"> and presentation</w:t>
      </w:r>
    </w:p>
    <w:p w14:paraId="65921B1F" w14:textId="77777777" w:rsidR="0030278B" w:rsidRPr="00432807" w:rsidRDefault="0030278B" w:rsidP="00187145">
      <w:pPr>
        <w:spacing w:after="0" w:line="240" w:lineRule="auto"/>
        <w:rPr>
          <w:rFonts w:ascii="Times New Roman" w:eastAsia="Times New Roman" w:hAnsi="Times New Roman" w:cs="Times New Roman"/>
          <w:sz w:val="24"/>
          <w:szCs w:val="24"/>
        </w:rPr>
      </w:pPr>
    </w:p>
    <w:p w14:paraId="3127730B" w14:textId="7FB02333" w:rsidR="0030278B" w:rsidRPr="00432807" w:rsidRDefault="003C567B" w:rsidP="001871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graduate-assistant tutor will be employed to assist students as they progress through the course. </w:t>
      </w:r>
      <w:r w:rsidR="008E12F9" w:rsidRPr="00432807">
        <w:rPr>
          <w:rFonts w:ascii="Times New Roman" w:eastAsia="Times New Roman" w:hAnsi="Times New Roman" w:cs="Times New Roman"/>
          <w:color w:val="000000"/>
          <w:sz w:val="24"/>
          <w:szCs w:val="24"/>
        </w:rPr>
        <w:t>There will be a</w:t>
      </w:r>
      <w:r>
        <w:rPr>
          <w:rFonts w:ascii="Times New Roman" w:eastAsia="Times New Roman" w:hAnsi="Times New Roman" w:cs="Times New Roman"/>
          <w:color w:val="000000"/>
          <w:sz w:val="24"/>
          <w:szCs w:val="24"/>
        </w:rPr>
        <w:t xml:space="preserve"> series of</w:t>
      </w:r>
      <w:r w:rsidR="008E12F9" w:rsidRPr="00432807">
        <w:rPr>
          <w:rFonts w:ascii="Times New Roman" w:eastAsia="Times New Roman" w:hAnsi="Times New Roman" w:cs="Times New Roman"/>
          <w:color w:val="000000"/>
          <w:sz w:val="24"/>
          <w:szCs w:val="24"/>
        </w:rPr>
        <w:t xml:space="preserve"> online forum</w:t>
      </w:r>
      <w:r>
        <w:rPr>
          <w:rFonts w:ascii="Times New Roman" w:eastAsia="Times New Roman" w:hAnsi="Times New Roman" w:cs="Times New Roman"/>
          <w:color w:val="000000"/>
          <w:sz w:val="24"/>
          <w:szCs w:val="24"/>
        </w:rPr>
        <w:t>s</w:t>
      </w:r>
      <w:r w:rsidR="008E12F9" w:rsidRPr="00432807">
        <w:rPr>
          <w:rFonts w:ascii="Times New Roman" w:eastAsia="Times New Roman" w:hAnsi="Times New Roman" w:cs="Times New Roman"/>
          <w:color w:val="000000"/>
          <w:sz w:val="24"/>
          <w:szCs w:val="24"/>
        </w:rPr>
        <w:t xml:space="preserve"> for which </w:t>
      </w:r>
      <w:r w:rsidR="008E12F9" w:rsidRPr="00432807">
        <w:rPr>
          <w:rFonts w:ascii="Times New Roman" w:eastAsia="Times New Roman" w:hAnsi="Times New Roman" w:cs="Times New Roman"/>
          <w:b/>
          <w:bCs/>
          <w:color w:val="000000"/>
          <w:sz w:val="24"/>
          <w:szCs w:val="24"/>
        </w:rPr>
        <w:t xml:space="preserve">25 </w:t>
      </w:r>
      <w:r w:rsidR="008E12F9" w:rsidRPr="00432807">
        <w:rPr>
          <w:rFonts w:ascii="Times New Roman" w:eastAsia="Times New Roman" w:hAnsi="Times New Roman" w:cs="Times New Roman"/>
          <w:color w:val="000000"/>
          <w:sz w:val="24"/>
          <w:szCs w:val="24"/>
        </w:rPr>
        <w:t xml:space="preserve">hours of tutorial time are </w:t>
      </w:r>
      <w:r w:rsidR="00013FA3">
        <w:rPr>
          <w:rFonts w:ascii="Times New Roman" w:eastAsia="Times New Roman" w:hAnsi="Times New Roman" w:cs="Times New Roman"/>
          <w:color w:val="000000"/>
          <w:sz w:val="24"/>
          <w:szCs w:val="24"/>
        </w:rPr>
        <w:t>esti</w:t>
      </w:r>
      <w:r w:rsidR="00EA026E">
        <w:rPr>
          <w:rFonts w:ascii="Times New Roman" w:eastAsia="Times New Roman" w:hAnsi="Times New Roman" w:cs="Times New Roman"/>
          <w:color w:val="000000"/>
          <w:sz w:val="24"/>
          <w:szCs w:val="24"/>
        </w:rPr>
        <w:t>mated</w:t>
      </w:r>
      <w:r w:rsidR="008E12F9" w:rsidRPr="00432807">
        <w:rPr>
          <w:rFonts w:ascii="Times New Roman" w:eastAsia="Times New Roman" w:hAnsi="Times New Roman" w:cs="Times New Roman"/>
          <w:color w:val="000000"/>
          <w:sz w:val="24"/>
          <w:szCs w:val="24"/>
        </w:rPr>
        <w:t>.  Students</w:t>
      </w:r>
      <w:r w:rsidR="00874708" w:rsidRPr="00432807">
        <w:rPr>
          <w:rFonts w:ascii="Times New Roman" w:eastAsia="Times New Roman" w:hAnsi="Times New Roman" w:cs="Times New Roman"/>
          <w:color w:val="000000"/>
          <w:sz w:val="24"/>
          <w:szCs w:val="24"/>
        </w:rPr>
        <w:t xml:space="preserve"> will be expected to attend the online tutorial where they may</w:t>
      </w:r>
      <w:r w:rsidR="008E12F9" w:rsidRPr="00432807">
        <w:rPr>
          <w:rFonts w:ascii="Times New Roman" w:eastAsia="Times New Roman" w:hAnsi="Times New Roman" w:cs="Times New Roman"/>
          <w:color w:val="000000"/>
          <w:sz w:val="24"/>
          <w:szCs w:val="24"/>
        </w:rPr>
        <w:t xml:space="preserve"> ask questions and can get help on </w:t>
      </w:r>
      <w:r w:rsidR="00874708" w:rsidRPr="00432807">
        <w:rPr>
          <w:rFonts w:ascii="Times New Roman" w:eastAsia="Times New Roman" w:hAnsi="Times New Roman" w:cs="Times New Roman"/>
          <w:color w:val="000000"/>
          <w:sz w:val="24"/>
          <w:szCs w:val="24"/>
        </w:rPr>
        <w:t xml:space="preserve">exercises or </w:t>
      </w:r>
      <w:r w:rsidR="00EA026E">
        <w:rPr>
          <w:rFonts w:ascii="Times New Roman" w:eastAsia="Times New Roman" w:hAnsi="Times New Roman" w:cs="Times New Roman"/>
          <w:color w:val="000000"/>
          <w:sz w:val="24"/>
          <w:szCs w:val="24"/>
        </w:rPr>
        <w:t>essay</w:t>
      </w:r>
      <w:r w:rsidR="00874708" w:rsidRPr="00432807">
        <w:rPr>
          <w:rFonts w:ascii="Times New Roman" w:eastAsia="Times New Roman" w:hAnsi="Times New Roman" w:cs="Times New Roman"/>
          <w:color w:val="000000"/>
          <w:sz w:val="24"/>
          <w:szCs w:val="24"/>
        </w:rPr>
        <w:t xml:space="preserve"> assignments. </w:t>
      </w:r>
      <w:r w:rsidR="00342A1E" w:rsidRPr="00432807">
        <w:rPr>
          <w:rFonts w:ascii="Times New Roman" w:eastAsia="Times New Roman" w:hAnsi="Times New Roman" w:cs="Times New Roman"/>
          <w:color w:val="000000"/>
          <w:sz w:val="24"/>
          <w:szCs w:val="24"/>
        </w:rPr>
        <w:t xml:space="preserve">The tutor will also discuss the required text readings to assure the students have an understanding of the material. </w:t>
      </w:r>
      <w:r w:rsidR="00874708" w:rsidRPr="00432807">
        <w:rPr>
          <w:rFonts w:ascii="Times New Roman" w:eastAsia="Times New Roman" w:hAnsi="Times New Roman" w:cs="Times New Roman"/>
          <w:color w:val="000000"/>
          <w:sz w:val="24"/>
          <w:szCs w:val="24"/>
        </w:rPr>
        <w:t>Students will be encouraged to make use of their local libraries</w:t>
      </w:r>
      <w:r w:rsidR="00EF6D93" w:rsidRPr="00432807">
        <w:rPr>
          <w:rFonts w:ascii="Times New Roman" w:eastAsia="Times New Roman" w:hAnsi="Times New Roman" w:cs="Times New Roman"/>
          <w:color w:val="000000"/>
          <w:sz w:val="24"/>
          <w:szCs w:val="24"/>
        </w:rPr>
        <w:t>, as well as free online resources</w:t>
      </w:r>
      <w:r w:rsidR="00874708" w:rsidRPr="00432807">
        <w:rPr>
          <w:rFonts w:ascii="Times New Roman" w:eastAsia="Times New Roman" w:hAnsi="Times New Roman" w:cs="Times New Roman"/>
          <w:color w:val="000000"/>
          <w:sz w:val="24"/>
          <w:szCs w:val="24"/>
        </w:rPr>
        <w:t xml:space="preserve"> in support of their studies.</w:t>
      </w:r>
      <w:r w:rsidR="00EF6D93" w:rsidRPr="00432807">
        <w:rPr>
          <w:rFonts w:ascii="Times New Roman" w:eastAsia="Times New Roman" w:hAnsi="Times New Roman" w:cs="Times New Roman"/>
          <w:color w:val="000000"/>
          <w:sz w:val="24"/>
          <w:szCs w:val="24"/>
        </w:rPr>
        <w:t xml:space="preserve"> </w:t>
      </w:r>
    </w:p>
    <w:p w14:paraId="51752D5C" w14:textId="77777777" w:rsidR="00342A1E" w:rsidRPr="00432807" w:rsidRDefault="00342A1E" w:rsidP="00187145">
      <w:pPr>
        <w:spacing w:after="0" w:line="240" w:lineRule="auto"/>
        <w:rPr>
          <w:rFonts w:ascii="Times New Roman" w:eastAsia="Times New Roman" w:hAnsi="Times New Roman" w:cs="Times New Roman"/>
          <w:sz w:val="24"/>
          <w:szCs w:val="24"/>
        </w:rPr>
      </w:pPr>
    </w:p>
    <w:p w14:paraId="1759FD63" w14:textId="4559D750" w:rsidR="008E12F9" w:rsidRPr="00EA026E" w:rsidRDefault="00EA026E" w:rsidP="00EA026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Assessment</w:t>
      </w:r>
    </w:p>
    <w:p w14:paraId="725A8612" w14:textId="77777777" w:rsidR="00874708" w:rsidRPr="00432807" w:rsidRDefault="00874708" w:rsidP="00187145">
      <w:pPr>
        <w:spacing w:after="0" w:line="240" w:lineRule="auto"/>
        <w:rPr>
          <w:rFonts w:ascii="Times New Roman" w:eastAsia="Times New Roman" w:hAnsi="Times New Roman" w:cs="Times New Roman"/>
          <w:sz w:val="24"/>
          <w:szCs w:val="24"/>
          <w:u w:val="single"/>
        </w:rPr>
      </w:pPr>
    </w:p>
    <w:p w14:paraId="15D648D8" w14:textId="0E700BFD" w:rsidR="008E12F9" w:rsidRPr="00432807" w:rsidRDefault="00874708" w:rsidP="00187145">
      <w:pPr>
        <w:spacing w:after="0" w:line="240" w:lineRule="auto"/>
        <w:rPr>
          <w:rFonts w:ascii="Times New Roman" w:eastAsia="Times New Roman" w:hAnsi="Times New Roman" w:cs="Times New Roman"/>
          <w:sz w:val="24"/>
          <w:szCs w:val="24"/>
        </w:rPr>
      </w:pPr>
      <w:r w:rsidRPr="00432807">
        <w:rPr>
          <w:rFonts w:ascii="Times New Roman" w:eastAsia="Times New Roman" w:hAnsi="Times New Roman" w:cs="Times New Roman"/>
          <w:color w:val="000000"/>
          <w:sz w:val="24"/>
          <w:szCs w:val="24"/>
        </w:rPr>
        <w:t>Student progress</w:t>
      </w:r>
      <w:r w:rsidR="008E12F9" w:rsidRPr="00432807">
        <w:rPr>
          <w:rFonts w:ascii="Times New Roman" w:eastAsia="Times New Roman" w:hAnsi="Times New Roman" w:cs="Times New Roman"/>
          <w:color w:val="000000"/>
          <w:sz w:val="24"/>
          <w:szCs w:val="24"/>
        </w:rPr>
        <w:t xml:space="preserve"> will be assessed on the basis of </w:t>
      </w:r>
      <w:r w:rsidR="008E12F9" w:rsidRPr="00432807">
        <w:rPr>
          <w:rFonts w:ascii="Times New Roman" w:eastAsia="Times New Roman" w:hAnsi="Times New Roman" w:cs="Times New Roman"/>
          <w:b/>
          <w:bCs/>
          <w:color w:val="000000"/>
          <w:sz w:val="24"/>
          <w:szCs w:val="24"/>
        </w:rPr>
        <w:t xml:space="preserve">seven </w:t>
      </w:r>
      <w:r w:rsidR="008E12F9" w:rsidRPr="00432807">
        <w:rPr>
          <w:rFonts w:ascii="Times New Roman" w:eastAsia="Times New Roman" w:hAnsi="Times New Roman" w:cs="Times New Roman"/>
          <w:color w:val="000000"/>
          <w:sz w:val="24"/>
          <w:szCs w:val="24"/>
        </w:rPr>
        <w:t>assignments</w:t>
      </w:r>
      <w:r w:rsidRPr="00432807">
        <w:rPr>
          <w:rFonts w:ascii="Times New Roman" w:eastAsia="Times New Roman" w:hAnsi="Times New Roman" w:cs="Times New Roman"/>
          <w:color w:val="000000"/>
          <w:sz w:val="24"/>
          <w:szCs w:val="24"/>
        </w:rPr>
        <w:t xml:space="preserve">. The assignments will be available online and will require the student to apply a knowledge of basic facts obtained through course </w:t>
      </w:r>
      <w:r w:rsidR="00EA026E">
        <w:rPr>
          <w:rFonts w:ascii="Times New Roman" w:eastAsia="Times New Roman" w:hAnsi="Times New Roman" w:cs="Times New Roman"/>
          <w:color w:val="000000"/>
          <w:sz w:val="24"/>
          <w:szCs w:val="24"/>
        </w:rPr>
        <w:t>readings, online tutorials, and</w:t>
      </w:r>
      <w:r w:rsidRPr="00432807">
        <w:rPr>
          <w:rFonts w:ascii="Times New Roman" w:eastAsia="Times New Roman" w:hAnsi="Times New Roman" w:cs="Times New Roman"/>
          <w:color w:val="000000"/>
          <w:sz w:val="24"/>
          <w:szCs w:val="24"/>
        </w:rPr>
        <w:t xml:space="preserve"> assignments through</w:t>
      </w:r>
      <w:r w:rsidR="000C53B5">
        <w:rPr>
          <w:rFonts w:ascii="Times New Roman" w:eastAsia="Times New Roman" w:hAnsi="Times New Roman" w:cs="Times New Roman"/>
          <w:color w:val="000000"/>
          <w:sz w:val="24"/>
          <w:szCs w:val="24"/>
        </w:rPr>
        <w:t xml:space="preserve"> composition</w:t>
      </w:r>
      <w:r w:rsidR="00EA026E">
        <w:rPr>
          <w:rFonts w:ascii="Times New Roman" w:eastAsia="Times New Roman" w:hAnsi="Times New Roman" w:cs="Times New Roman"/>
          <w:color w:val="000000"/>
          <w:sz w:val="24"/>
          <w:szCs w:val="24"/>
        </w:rPr>
        <w:t xml:space="preserve"> and submission</w:t>
      </w:r>
      <w:r w:rsidR="000C53B5">
        <w:rPr>
          <w:rFonts w:ascii="Times New Roman" w:eastAsia="Times New Roman" w:hAnsi="Times New Roman" w:cs="Times New Roman"/>
          <w:color w:val="000000"/>
          <w:sz w:val="24"/>
          <w:szCs w:val="24"/>
        </w:rPr>
        <w:t xml:space="preserve"> of</w:t>
      </w:r>
      <w:r w:rsidRPr="00432807">
        <w:rPr>
          <w:rFonts w:ascii="Times New Roman" w:eastAsia="Times New Roman" w:hAnsi="Times New Roman" w:cs="Times New Roman"/>
          <w:color w:val="000000"/>
          <w:sz w:val="24"/>
          <w:szCs w:val="24"/>
        </w:rPr>
        <w:t xml:space="preserve"> seven short essays</w:t>
      </w:r>
      <w:r w:rsidR="000C53B5">
        <w:rPr>
          <w:rFonts w:ascii="Times New Roman" w:eastAsia="Times New Roman" w:hAnsi="Times New Roman" w:cs="Times New Roman"/>
          <w:color w:val="000000"/>
          <w:sz w:val="24"/>
          <w:szCs w:val="24"/>
        </w:rPr>
        <w:t>. The expectation is that one essay will</w:t>
      </w:r>
      <w:r w:rsidRPr="00432807">
        <w:rPr>
          <w:rFonts w:ascii="Times New Roman" w:eastAsia="Times New Roman" w:hAnsi="Times New Roman" w:cs="Times New Roman"/>
          <w:color w:val="000000"/>
          <w:sz w:val="24"/>
          <w:szCs w:val="24"/>
        </w:rPr>
        <w:t xml:space="preserve"> be completed</w:t>
      </w:r>
      <w:r w:rsidR="000C53B5">
        <w:rPr>
          <w:rFonts w:ascii="Times New Roman" w:eastAsia="Times New Roman" w:hAnsi="Times New Roman" w:cs="Times New Roman"/>
          <w:color w:val="000000"/>
          <w:sz w:val="24"/>
          <w:szCs w:val="24"/>
        </w:rPr>
        <w:t xml:space="preserve"> and submitted</w:t>
      </w:r>
      <w:r w:rsidRPr="00432807">
        <w:rPr>
          <w:rFonts w:ascii="Times New Roman" w:eastAsia="Times New Roman" w:hAnsi="Times New Roman" w:cs="Times New Roman"/>
          <w:color w:val="000000"/>
          <w:sz w:val="24"/>
          <w:szCs w:val="24"/>
        </w:rPr>
        <w:t xml:space="preserve"> every other week</w:t>
      </w:r>
      <w:r w:rsidR="000C53B5">
        <w:rPr>
          <w:rFonts w:ascii="Times New Roman" w:eastAsia="Times New Roman" w:hAnsi="Times New Roman" w:cs="Times New Roman"/>
          <w:color w:val="000000"/>
          <w:sz w:val="24"/>
          <w:szCs w:val="24"/>
        </w:rPr>
        <w:t xml:space="preserve"> during the course</w:t>
      </w:r>
      <w:r w:rsidRPr="00432807">
        <w:rPr>
          <w:rFonts w:ascii="Times New Roman" w:eastAsia="Times New Roman" w:hAnsi="Times New Roman" w:cs="Times New Roman"/>
          <w:color w:val="000000"/>
          <w:sz w:val="24"/>
          <w:szCs w:val="24"/>
        </w:rPr>
        <w:t>.</w:t>
      </w:r>
      <w:r w:rsidR="008E12F9" w:rsidRPr="00432807">
        <w:rPr>
          <w:rFonts w:ascii="Times New Roman" w:eastAsia="Times New Roman" w:hAnsi="Times New Roman" w:cs="Times New Roman"/>
          <w:color w:val="000000"/>
          <w:sz w:val="24"/>
          <w:szCs w:val="24"/>
        </w:rPr>
        <w:t xml:space="preserve"> </w:t>
      </w:r>
      <w:r w:rsidR="000C53B5">
        <w:rPr>
          <w:rFonts w:ascii="Times New Roman" w:eastAsia="Times New Roman" w:hAnsi="Times New Roman" w:cs="Times New Roman"/>
          <w:color w:val="000000"/>
          <w:sz w:val="24"/>
          <w:szCs w:val="24"/>
        </w:rPr>
        <w:t xml:space="preserve">Assignments will be submitted via email response. </w:t>
      </w:r>
      <w:r w:rsidR="00EA026E">
        <w:rPr>
          <w:rFonts w:ascii="Times New Roman" w:eastAsia="Times New Roman" w:hAnsi="Times New Roman" w:cs="Times New Roman"/>
          <w:color w:val="000000"/>
          <w:sz w:val="24"/>
          <w:szCs w:val="24"/>
        </w:rPr>
        <w:t>The tutor will evaluate and grade e</w:t>
      </w:r>
      <w:r w:rsidRPr="00432807">
        <w:rPr>
          <w:rFonts w:ascii="Times New Roman" w:eastAsia="Times New Roman" w:hAnsi="Times New Roman" w:cs="Times New Roman"/>
          <w:color w:val="000000"/>
          <w:sz w:val="24"/>
          <w:szCs w:val="24"/>
        </w:rPr>
        <w:t>ach essay</w:t>
      </w:r>
      <w:r w:rsidR="000C53B5">
        <w:rPr>
          <w:rFonts w:ascii="Times New Roman" w:eastAsia="Times New Roman" w:hAnsi="Times New Roman" w:cs="Times New Roman"/>
          <w:color w:val="000000"/>
          <w:sz w:val="24"/>
          <w:szCs w:val="24"/>
        </w:rPr>
        <w:t>. The tutor will provide feedback via email</w:t>
      </w:r>
      <w:r w:rsidRPr="00432807">
        <w:rPr>
          <w:rFonts w:ascii="Times New Roman" w:eastAsia="Times New Roman" w:hAnsi="Times New Roman" w:cs="Times New Roman"/>
          <w:color w:val="000000"/>
          <w:sz w:val="24"/>
          <w:szCs w:val="24"/>
        </w:rPr>
        <w:t>.</w:t>
      </w:r>
    </w:p>
    <w:p w14:paraId="58B533F3" w14:textId="77777777" w:rsidR="008E12F9" w:rsidRPr="00432807" w:rsidRDefault="008E12F9" w:rsidP="00187145">
      <w:pPr>
        <w:spacing w:after="0" w:line="240" w:lineRule="auto"/>
        <w:rPr>
          <w:rFonts w:ascii="Times New Roman" w:eastAsia="Times New Roman" w:hAnsi="Times New Roman" w:cs="Times New Roman"/>
          <w:sz w:val="24"/>
          <w:szCs w:val="24"/>
        </w:rPr>
      </w:pPr>
    </w:p>
    <w:p w14:paraId="3A96D4EF" w14:textId="22A603BD" w:rsidR="008E12F9" w:rsidRPr="00EA026E" w:rsidRDefault="008E12F9" w:rsidP="00EA026E">
      <w:pPr>
        <w:spacing w:after="0" w:line="240" w:lineRule="auto"/>
        <w:rPr>
          <w:rFonts w:ascii="Times New Roman" w:eastAsia="Times New Roman" w:hAnsi="Times New Roman" w:cs="Times New Roman"/>
          <w:b/>
          <w:color w:val="000000"/>
          <w:sz w:val="24"/>
          <w:szCs w:val="24"/>
        </w:rPr>
      </w:pPr>
      <w:r w:rsidRPr="00EA026E">
        <w:rPr>
          <w:rFonts w:ascii="Times New Roman" w:eastAsia="Times New Roman" w:hAnsi="Times New Roman" w:cs="Times New Roman"/>
          <w:b/>
          <w:color w:val="000000"/>
          <w:sz w:val="24"/>
          <w:szCs w:val="24"/>
        </w:rPr>
        <w:t>Envisaged enrollment</w:t>
      </w:r>
    </w:p>
    <w:p w14:paraId="34BD145F" w14:textId="77777777" w:rsidR="00A62DCB" w:rsidRPr="00432807" w:rsidRDefault="00A62DCB" w:rsidP="00187145">
      <w:pPr>
        <w:spacing w:after="0" w:line="240" w:lineRule="auto"/>
        <w:rPr>
          <w:rFonts w:ascii="Times New Roman" w:eastAsia="Times New Roman" w:hAnsi="Times New Roman" w:cs="Times New Roman"/>
          <w:sz w:val="24"/>
          <w:szCs w:val="24"/>
        </w:rPr>
      </w:pPr>
    </w:p>
    <w:p w14:paraId="47739EA1" w14:textId="71434F39" w:rsidR="008E12F9" w:rsidRPr="00432807" w:rsidRDefault="008E12F9" w:rsidP="00187145">
      <w:pPr>
        <w:spacing w:after="0" w:line="240" w:lineRule="auto"/>
        <w:rPr>
          <w:rFonts w:ascii="Times New Roman" w:eastAsia="Times New Roman" w:hAnsi="Times New Roman" w:cs="Times New Roman"/>
          <w:color w:val="000000"/>
          <w:sz w:val="24"/>
          <w:szCs w:val="24"/>
        </w:rPr>
      </w:pPr>
      <w:r w:rsidRPr="00432807">
        <w:rPr>
          <w:rFonts w:ascii="Times New Roman" w:eastAsia="Times New Roman" w:hAnsi="Times New Roman" w:cs="Times New Roman"/>
          <w:color w:val="000000"/>
          <w:sz w:val="24"/>
          <w:szCs w:val="24"/>
        </w:rPr>
        <w:t xml:space="preserve">The course is expected to attract </w:t>
      </w:r>
      <w:r w:rsidRPr="00432807">
        <w:rPr>
          <w:rFonts w:ascii="Times New Roman" w:eastAsia="Times New Roman" w:hAnsi="Times New Roman" w:cs="Times New Roman"/>
          <w:b/>
          <w:bCs/>
          <w:color w:val="000000"/>
          <w:sz w:val="24"/>
          <w:szCs w:val="24"/>
        </w:rPr>
        <w:t>1</w:t>
      </w:r>
      <w:r w:rsidR="0075378C">
        <w:rPr>
          <w:rFonts w:ascii="Times New Roman" w:eastAsia="Times New Roman" w:hAnsi="Times New Roman" w:cs="Times New Roman"/>
          <w:b/>
          <w:bCs/>
          <w:color w:val="000000"/>
          <w:sz w:val="24"/>
          <w:szCs w:val="24"/>
        </w:rPr>
        <w:t>45</w:t>
      </w:r>
      <w:r w:rsidRPr="00432807">
        <w:rPr>
          <w:rFonts w:ascii="Times New Roman" w:eastAsia="Times New Roman" w:hAnsi="Times New Roman" w:cs="Times New Roman"/>
          <w:b/>
          <w:bCs/>
          <w:color w:val="000000"/>
          <w:sz w:val="24"/>
          <w:szCs w:val="24"/>
        </w:rPr>
        <w:t xml:space="preserve"> </w:t>
      </w:r>
      <w:r w:rsidRPr="00432807">
        <w:rPr>
          <w:rFonts w:ascii="Times New Roman" w:eastAsia="Times New Roman" w:hAnsi="Times New Roman" w:cs="Times New Roman"/>
          <w:color w:val="000000"/>
          <w:sz w:val="24"/>
          <w:szCs w:val="24"/>
        </w:rPr>
        <w:t>students per year.  </w:t>
      </w:r>
      <w:r w:rsidR="007F6F4B">
        <w:rPr>
          <w:rFonts w:ascii="Times New Roman" w:eastAsia="Times New Roman" w:hAnsi="Times New Roman" w:cs="Times New Roman"/>
          <w:color w:val="000000"/>
          <w:sz w:val="24"/>
          <w:szCs w:val="24"/>
        </w:rPr>
        <w:t xml:space="preserve">However, as the course is an introductory, foundational, course, we believe this to be a conservative estimate. We believe that as many as 50% more students may attend the course over its life. </w:t>
      </w:r>
    </w:p>
    <w:p w14:paraId="39995D1B" w14:textId="77777777" w:rsidR="006A43BD" w:rsidRDefault="006A43BD" w:rsidP="008E12F9">
      <w:pPr>
        <w:spacing w:after="0" w:line="240" w:lineRule="auto"/>
        <w:ind w:left="720"/>
        <w:rPr>
          <w:rFonts w:ascii="Times New Roman" w:eastAsia="Times New Roman" w:hAnsi="Times New Roman" w:cs="Times New Roman"/>
          <w:color w:val="000000"/>
          <w:sz w:val="24"/>
          <w:szCs w:val="24"/>
        </w:rPr>
      </w:pPr>
    </w:p>
    <w:p w14:paraId="6F460358" w14:textId="77777777" w:rsidR="00084401" w:rsidRDefault="0045480C" w:rsidP="00084401">
      <w:pPr>
        <w:jc w:val="center"/>
        <w:rPr>
          <w:rFonts w:ascii="Times New Roman" w:hAnsi="Times New Roman" w:cs="Times New Roman"/>
          <w:b/>
          <w:sz w:val="24"/>
          <w:szCs w:val="24"/>
        </w:rPr>
      </w:pPr>
      <w:r w:rsidRPr="00EA026E">
        <w:rPr>
          <w:rFonts w:ascii="Times New Roman" w:hAnsi="Times New Roman" w:cs="Times New Roman"/>
          <w:b/>
          <w:sz w:val="24"/>
          <w:szCs w:val="24"/>
        </w:rPr>
        <w:t>Cost Analysis</w:t>
      </w:r>
    </w:p>
    <w:p w14:paraId="7745157E" w14:textId="6BFB3722" w:rsidR="00084401" w:rsidRPr="00084401" w:rsidRDefault="00084401" w:rsidP="00084401">
      <w:pPr>
        <w:rPr>
          <w:rFonts w:ascii="Times New Roman" w:hAnsi="Times New Roman" w:cs="Times New Roman"/>
          <w:b/>
          <w:sz w:val="24"/>
          <w:szCs w:val="24"/>
        </w:rPr>
      </w:pPr>
      <w:r>
        <w:rPr>
          <w:rFonts w:ascii="Times New Roman" w:hAnsi="Times New Roman" w:cs="Times New Roman"/>
          <w:b/>
          <w:sz w:val="24"/>
          <w:szCs w:val="24"/>
        </w:rPr>
        <w:t>Fixed Costs</w:t>
      </w:r>
    </w:p>
    <w:p w14:paraId="74B82F64" w14:textId="54BA4142" w:rsidR="0045480C" w:rsidRDefault="00084401" w:rsidP="00187173">
      <w:pPr>
        <w:rPr>
          <w:rFonts w:ascii="Times New Roman" w:hAnsi="Times New Roman" w:cs="Times New Roman"/>
          <w:sz w:val="24"/>
          <w:szCs w:val="24"/>
        </w:rPr>
      </w:pPr>
      <w:r>
        <w:rPr>
          <w:rFonts w:ascii="Times New Roman" w:hAnsi="Times New Roman" w:cs="Times New Roman"/>
          <w:sz w:val="24"/>
          <w:szCs w:val="24"/>
        </w:rPr>
        <w:lastRenderedPageBreak/>
        <w:tab/>
      </w:r>
      <w:r w:rsidR="00187173" w:rsidRPr="005B1A6F">
        <w:rPr>
          <w:rFonts w:ascii="Times New Roman" w:hAnsi="Times New Roman" w:cs="Times New Roman"/>
          <w:sz w:val="24"/>
          <w:szCs w:val="24"/>
        </w:rPr>
        <w:t xml:space="preserve">Fixed costs are those costs that remain the same despite increases </w:t>
      </w:r>
      <w:r w:rsidR="00AD40A8">
        <w:rPr>
          <w:rFonts w:ascii="Times New Roman" w:hAnsi="Times New Roman" w:cs="Times New Roman"/>
          <w:sz w:val="24"/>
          <w:szCs w:val="24"/>
        </w:rPr>
        <w:t xml:space="preserve">or decreases </w:t>
      </w:r>
      <w:r w:rsidR="00187173" w:rsidRPr="005B1A6F">
        <w:rPr>
          <w:rFonts w:ascii="Times New Roman" w:hAnsi="Times New Roman" w:cs="Times New Roman"/>
          <w:sz w:val="24"/>
          <w:szCs w:val="24"/>
        </w:rPr>
        <w:t>in quantity of the p</w:t>
      </w:r>
      <w:r w:rsidR="00A11CDF">
        <w:rPr>
          <w:rFonts w:ascii="Times New Roman" w:hAnsi="Times New Roman" w:cs="Times New Roman"/>
          <w:sz w:val="24"/>
          <w:szCs w:val="24"/>
        </w:rPr>
        <w:t xml:space="preserve">roduct. </w:t>
      </w:r>
      <w:r w:rsidR="00666A35">
        <w:rPr>
          <w:rFonts w:ascii="Times New Roman" w:hAnsi="Times New Roman" w:cs="Times New Roman"/>
          <w:sz w:val="24"/>
          <w:szCs w:val="24"/>
        </w:rPr>
        <w:t>With</w:t>
      </w:r>
      <w:r w:rsidR="00A11CDF">
        <w:rPr>
          <w:rFonts w:ascii="Times New Roman" w:hAnsi="Times New Roman" w:cs="Times New Roman"/>
          <w:sz w:val="24"/>
          <w:szCs w:val="24"/>
        </w:rPr>
        <w:t xml:space="preserve"> course development, they are not dependent on the number of students</w:t>
      </w:r>
      <w:r w:rsidR="00187173" w:rsidRPr="005B1A6F">
        <w:rPr>
          <w:rFonts w:ascii="Times New Roman" w:hAnsi="Times New Roman" w:cs="Times New Roman"/>
          <w:sz w:val="24"/>
          <w:szCs w:val="24"/>
        </w:rPr>
        <w:t xml:space="preserve"> </w:t>
      </w:r>
      <w:r w:rsidR="00A11CDF">
        <w:rPr>
          <w:rFonts w:ascii="Times New Roman" w:hAnsi="Times New Roman" w:cs="Times New Roman"/>
          <w:sz w:val="24"/>
          <w:szCs w:val="24"/>
        </w:rPr>
        <w:t xml:space="preserve">(Rumble, 1997). </w:t>
      </w:r>
      <w:r w:rsidR="00187173">
        <w:rPr>
          <w:rFonts w:ascii="Times New Roman" w:hAnsi="Times New Roman" w:cs="Times New Roman"/>
          <w:sz w:val="24"/>
          <w:szCs w:val="24"/>
        </w:rPr>
        <w:t xml:space="preserve">In this course, the fixed costs include </w:t>
      </w:r>
      <w:r w:rsidR="00666A35">
        <w:rPr>
          <w:rFonts w:ascii="Times New Roman" w:hAnsi="Times New Roman" w:cs="Times New Roman"/>
          <w:sz w:val="24"/>
          <w:szCs w:val="24"/>
        </w:rPr>
        <w:t xml:space="preserve">recurring </w:t>
      </w:r>
      <w:r w:rsidR="00A11CDF">
        <w:rPr>
          <w:rFonts w:ascii="Times New Roman" w:hAnsi="Times New Roman" w:cs="Times New Roman"/>
          <w:sz w:val="24"/>
          <w:szCs w:val="24"/>
        </w:rPr>
        <w:t xml:space="preserve">overheads, </w:t>
      </w:r>
      <w:r w:rsidR="00666A35">
        <w:rPr>
          <w:rFonts w:ascii="Times New Roman" w:hAnsi="Times New Roman" w:cs="Times New Roman"/>
          <w:sz w:val="24"/>
          <w:szCs w:val="24"/>
        </w:rPr>
        <w:t>consisting of</w:t>
      </w:r>
      <w:r w:rsidR="00A11CDF">
        <w:rPr>
          <w:rFonts w:ascii="Times New Roman" w:hAnsi="Times New Roman" w:cs="Times New Roman"/>
          <w:sz w:val="24"/>
          <w:szCs w:val="24"/>
        </w:rPr>
        <w:t xml:space="preserve"> </w:t>
      </w:r>
      <w:r>
        <w:rPr>
          <w:rFonts w:ascii="Times New Roman" w:hAnsi="Times New Roman" w:cs="Times New Roman"/>
          <w:sz w:val="24"/>
          <w:szCs w:val="24"/>
        </w:rPr>
        <w:t>one-</w:t>
      </w:r>
      <w:r w:rsidR="00AD40A8">
        <w:rPr>
          <w:rFonts w:ascii="Times New Roman" w:hAnsi="Times New Roman" w:cs="Times New Roman"/>
          <w:sz w:val="24"/>
          <w:szCs w:val="24"/>
        </w:rPr>
        <w:t xml:space="preserve">fifth work year of </w:t>
      </w:r>
      <w:r w:rsidR="00A11CDF">
        <w:rPr>
          <w:rFonts w:ascii="Times New Roman" w:hAnsi="Times New Roman" w:cs="Times New Roman"/>
          <w:sz w:val="24"/>
          <w:szCs w:val="24"/>
        </w:rPr>
        <w:t>management</w:t>
      </w:r>
      <w:r w:rsidR="00666A35">
        <w:rPr>
          <w:rFonts w:ascii="Times New Roman" w:hAnsi="Times New Roman" w:cs="Times New Roman"/>
          <w:sz w:val="24"/>
          <w:szCs w:val="24"/>
        </w:rPr>
        <w:t xml:space="preserve"> </w:t>
      </w:r>
      <w:r w:rsidR="00AD40A8">
        <w:rPr>
          <w:rFonts w:ascii="Times New Roman" w:hAnsi="Times New Roman" w:cs="Times New Roman"/>
          <w:sz w:val="24"/>
          <w:szCs w:val="24"/>
        </w:rPr>
        <w:t xml:space="preserve">support </w:t>
      </w:r>
      <w:r>
        <w:rPr>
          <w:rFonts w:ascii="Times New Roman" w:hAnsi="Times New Roman" w:cs="Times New Roman"/>
          <w:sz w:val="24"/>
          <w:szCs w:val="24"/>
        </w:rPr>
        <w:t>during the year</w:t>
      </w:r>
      <w:r w:rsidR="00666A35">
        <w:rPr>
          <w:rFonts w:ascii="Times New Roman" w:hAnsi="Times New Roman" w:cs="Times New Roman"/>
          <w:sz w:val="24"/>
          <w:szCs w:val="24"/>
        </w:rPr>
        <w:t xml:space="preserve"> </w:t>
      </w:r>
      <w:proofErr w:type="spellStart"/>
      <w:r w:rsidR="00666A35">
        <w:rPr>
          <w:rFonts w:ascii="Times New Roman" w:hAnsi="Times New Roman" w:cs="Times New Roman"/>
          <w:sz w:val="24"/>
          <w:szCs w:val="24"/>
        </w:rPr>
        <w:t>year</w:t>
      </w:r>
      <w:proofErr w:type="spellEnd"/>
      <w:r w:rsidR="00AD40A8">
        <w:rPr>
          <w:rFonts w:ascii="Times New Roman" w:hAnsi="Times New Roman" w:cs="Times New Roman"/>
          <w:sz w:val="24"/>
          <w:szCs w:val="24"/>
        </w:rPr>
        <w:t xml:space="preserve"> at $14,000</w:t>
      </w:r>
      <w:r w:rsidR="00A11CDF">
        <w:rPr>
          <w:rFonts w:ascii="Times New Roman" w:hAnsi="Times New Roman" w:cs="Times New Roman"/>
          <w:sz w:val="24"/>
          <w:szCs w:val="24"/>
        </w:rPr>
        <w:t xml:space="preserve"> and </w:t>
      </w:r>
      <w:r>
        <w:rPr>
          <w:rFonts w:ascii="Times New Roman" w:hAnsi="Times New Roman" w:cs="Times New Roman"/>
          <w:sz w:val="24"/>
          <w:szCs w:val="24"/>
        </w:rPr>
        <w:t xml:space="preserve">a half </w:t>
      </w:r>
      <w:r w:rsidR="00AD40A8">
        <w:rPr>
          <w:rFonts w:ascii="Times New Roman" w:hAnsi="Times New Roman" w:cs="Times New Roman"/>
          <w:sz w:val="24"/>
          <w:szCs w:val="24"/>
        </w:rPr>
        <w:t xml:space="preserve">work year of </w:t>
      </w:r>
      <w:r w:rsidR="00A11CDF">
        <w:rPr>
          <w:rFonts w:ascii="Times New Roman" w:hAnsi="Times New Roman" w:cs="Times New Roman"/>
          <w:sz w:val="24"/>
          <w:szCs w:val="24"/>
        </w:rPr>
        <w:t>secretarial</w:t>
      </w:r>
      <w:r w:rsidR="00AD40A8">
        <w:rPr>
          <w:rFonts w:ascii="Times New Roman" w:hAnsi="Times New Roman" w:cs="Times New Roman"/>
          <w:sz w:val="24"/>
          <w:szCs w:val="24"/>
        </w:rPr>
        <w:t xml:space="preserve"> support each year at $32,500. These support costs continue </w:t>
      </w:r>
      <w:r w:rsidR="00A11CDF">
        <w:rPr>
          <w:rFonts w:ascii="Times New Roman" w:hAnsi="Times New Roman" w:cs="Times New Roman"/>
          <w:sz w:val="24"/>
          <w:szCs w:val="24"/>
        </w:rPr>
        <w:t xml:space="preserve">throughout the life of the course. </w:t>
      </w:r>
      <w:r w:rsidR="00666A35">
        <w:rPr>
          <w:rFonts w:ascii="Times New Roman" w:hAnsi="Times New Roman" w:cs="Times New Roman"/>
          <w:sz w:val="24"/>
          <w:szCs w:val="24"/>
        </w:rPr>
        <w:t>Non-recurring d</w:t>
      </w:r>
      <w:r w:rsidR="00A11CDF">
        <w:rPr>
          <w:rFonts w:ascii="Times New Roman" w:hAnsi="Times New Roman" w:cs="Times New Roman"/>
          <w:sz w:val="24"/>
          <w:szCs w:val="24"/>
        </w:rPr>
        <w:t>evelopment costs</w:t>
      </w:r>
      <w:r w:rsidR="00666A35">
        <w:rPr>
          <w:rFonts w:ascii="Times New Roman" w:hAnsi="Times New Roman" w:cs="Times New Roman"/>
          <w:sz w:val="24"/>
          <w:szCs w:val="24"/>
        </w:rPr>
        <w:t xml:space="preserve"> </w:t>
      </w:r>
      <w:r w:rsidR="002C025F">
        <w:rPr>
          <w:rFonts w:ascii="Times New Roman" w:hAnsi="Times New Roman" w:cs="Times New Roman"/>
          <w:sz w:val="24"/>
          <w:szCs w:val="24"/>
        </w:rPr>
        <w:t xml:space="preserve">also </w:t>
      </w:r>
      <w:r w:rsidR="009B7B75">
        <w:rPr>
          <w:rFonts w:ascii="Times New Roman" w:hAnsi="Times New Roman" w:cs="Times New Roman"/>
          <w:sz w:val="24"/>
          <w:szCs w:val="24"/>
        </w:rPr>
        <w:t>include</w:t>
      </w:r>
      <w:r w:rsidR="002C025F">
        <w:rPr>
          <w:rFonts w:ascii="Times New Roman" w:hAnsi="Times New Roman" w:cs="Times New Roman"/>
          <w:sz w:val="24"/>
          <w:szCs w:val="24"/>
        </w:rPr>
        <w:t xml:space="preserve"> </w:t>
      </w:r>
      <w:r w:rsidR="00A11CDF">
        <w:rPr>
          <w:rFonts w:ascii="Times New Roman" w:hAnsi="Times New Roman" w:cs="Times New Roman"/>
          <w:sz w:val="24"/>
          <w:szCs w:val="24"/>
        </w:rPr>
        <w:t>management</w:t>
      </w:r>
      <w:r w:rsidR="002C025F">
        <w:rPr>
          <w:rFonts w:ascii="Times New Roman" w:hAnsi="Times New Roman" w:cs="Times New Roman"/>
          <w:sz w:val="24"/>
          <w:szCs w:val="24"/>
        </w:rPr>
        <w:t xml:space="preserve"> support </w:t>
      </w:r>
      <w:r w:rsidR="009B7B75">
        <w:rPr>
          <w:rFonts w:ascii="Times New Roman" w:hAnsi="Times New Roman" w:cs="Times New Roman"/>
          <w:sz w:val="24"/>
          <w:szCs w:val="24"/>
        </w:rPr>
        <w:t xml:space="preserve">and secretarial support for the </w:t>
      </w:r>
      <w:r w:rsidR="00EA026E">
        <w:rPr>
          <w:rFonts w:ascii="Times New Roman" w:hAnsi="Times New Roman" w:cs="Times New Roman"/>
          <w:sz w:val="24"/>
          <w:szCs w:val="24"/>
        </w:rPr>
        <w:t>development</w:t>
      </w:r>
      <w:r w:rsidR="009B7B75">
        <w:rPr>
          <w:rFonts w:ascii="Times New Roman" w:hAnsi="Times New Roman" w:cs="Times New Roman"/>
          <w:sz w:val="24"/>
          <w:szCs w:val="24"/>
        </w:rPr>
        <w:t xml:space="preserve">. Management support will be one-half work year </w:t>
      </w:r>
      <w:r w:rsidR="00EA026E">
        <w:rPr>
          <w:rFonts w:ascii="Times New Roman" w:hAnsi="Times New Roman" w:cs="Times New Roman"/>
          <w:sz w:val="24"/>
          <w:szCs w:val="24"/>
        </w:rPr>
        <w:t>at a total of $35,000</w:t>
      </w:r>
      <w:r w:rsidR="009B7B75">
        <w:rPr>
          <w:rFonts w:ascii="Times New Roman" w:hAnsi="Times New Roman" w:cs="Times New Roman"/>
          <w:sz w:val="24"/>
          <w:szCs w:val="24"/>
        </w:rPr>
        <w:t xml:space="preserve">. Secretarial support will total </w:t>
      </w:r>
      <w:r w:rsidR="00EA026E">
        <w:rPr>
          <w:rFonts w:ascii="Times New Roman" w:hAnsi="Times New Roman" w:cs="Times New Roman"/>
          <w:sz w:val="24"/>
          <w:szCs w:val="24"/>
        </w:rPr>
        <w:t>a</w:t>
      </w:r>
      <w:r w:rsidR="009B7B75">
        <w:rPr>
          <w:rFonts w:ascii="Times New Roman" w:hAnsi="Times New Roman" w:cs="Times New Roman"/>
          <w:sz w:val="24"/>
          <w:szCs w:val="24"/>
        </w:rPr>
        <w:t xml:space="preserve"> full work year at $</w:t>
      </w:r>
      <w:r w:rsidR="00EA026E">
        <w:rPr>
          <w:rFonts w:ascii="Times New Roman" w:hAnsi="Times New Roman" w:cs="Times New Roman"/>
          <w:sz w:val="24"/>
          <w:szCs w:val="24"/>
        </w:rPr>
        <w:t>32,500</w:t>
      </w:r>
      <w:r w:rsidR="002C025F">
        <w:rPr>
          <w:rFonts w:ascii="Times New Roman" w:hAnsi="Times New Roman" w:cs="Times New Roman"/>
          <w:sz w:val="24"/>
          <w:szCs w:val="24"/>
        </w:rPr>
        <w:t xml:space="preserve">. </w:t>
      </w:r>
    </w:p>
    <w:p w14:paraId="2B4DFCA6" w14:textId="558C43B5" w:rsidR="00256F87" w:rsidRDefault="00EA026E" w:rsidP="00187173">
      <w:pPr>
        <w:rPr>
          <w:rFonts w:ascii="Times New Roman" w:hAnsi="Times New Roman" w:cs="Times New Roman"/>
          <w:sz w:val="24"/>
          <w:szCs w:val="24"/>
        </w:rPr>
      </w:pPr>
      <w:r>
        <w:rPr>
          <w:rFonts w:ascii="Times New Roman" w:hAnsi="Times New Roman" w:cs="Times New Roman"/>
          <w:sz w:val="24"/>
          <w:szCs w:val="24"/>
        </w:rPr>
        <w:tab/>
      </w:r>
      <w:r w:rsidR="00CD2A7B">
        <w:rPr>
          <w:rFonts w:ascii="Times New Roman" w:hAnsi="Times New Roman" w:cs="Times New Roman"/>
          <w:sz w:val="24"/>
          <w:szCs w:val="24"/>
        </w:rPr>
        <w:t xml:space="preserve">Other costs are based on the product and the quantity (units) of the product. </w:t>
      </w:r>
      <w:r w:rsidR="00CD2A7B">
        <w:rPr>
          <w:rFonts w:ascii="Times New Roman" w:eastAsia="Times New Roman" w:hAnsi="Times New Roman" w:cs="Times New Roman"/>
          <w:color w:val="000000"/>
          <w:sz w:val="24"/>
          <w:szCs w:val="24"/>
        </w:rPr>
        <w:t>Fifteen</w:t>
      </w:r>
      <w:r w:rsidR="0045480C" w:rsidRPr="00432807">
        <w:rPr>
          <w:rFonts w:ascii="Times New Roman" w:eastAsia="Times New Roman" w:hAnsi="Times New Roman" w:cs="Times New Roman"/>
          <w:color w:val="000000"/>
          <w:sz w:val="24"/>
          <w:szCs w:val="24"/>
        </w:rPr>
        <w:t xml:space="preserve"> </w:t>
      </w:r>
      <w:r w:rsidR="0045480C">
        <w:rPr>
          <w:rFonts w:ascii="Times New Roman" w:eastAsia="Times New Roman" w:hAnsi="Times New Roman" w:cs="Times New Roman"/>
          <w:color w:val="000000"/>
          <w:sz w:val="24"/>
          <w:szCs w:val="24"/>
        </w:rPr>
        <w:t>study guide</w:t>
      </w:r>
      <w:r w:rsidR="00CD2A7B">
        <w:rPr>
          <w:rFonts w:ascii="Times New Roman" w:eastAsia="Times New Roman" w:hAnsi="Times New Roman" w:cs="Times New Roman"/>
          <w:color w:val="000000"/>
          <w:sz w:val="24"/>
          <w:szCs w:val="24"/>
        </w:rPr>
        <w:t>s</w:t>
      </w:r>
      <w:r w:rsidR="0045480C" w:rsidRPr="00432807">
        <w:rPr>
          <w:rFonts w:ascii="Times New Roman" w:eastAsia="Times New Roman" w:hAnsi="Times New Roman" w:cs="Times New Roman"/>
          <w:color w:val="000000"/>
          <w:sz w:val="24"/>
          <w:szCs w:val="24"/>
        </w:rPr>
        <w:t xml:space="preserve"> will be </w:t>
      </w:r>
      <w:r w:rsidR="0045480C">
        <w:rPr>
          <w:rFonts w:ascii="Times New Roman" w:eastAsia="Times New Roman" w:hAnsi="Times New Roman" w:cs="Times New Roman"/>
          <w:color w:val="000000"/>
          <w:sz w:val="24"/>
          <w:szCs w:val="24"/>
        </w:rPr>
        <w:t>authored</w:t>
      </w:r>
      <w:r w:rsidR="0045480C" w:rsidRPr="00432807">
        <w:rPr>
          <w:rFonts w:ascii="Times New Roman" w:eastAsia="Times New Roman" w:hAnsi="Times New Roman" w:cs="Times New Roman"/>
          <w:color w:val="000000"/>
          <w:sz w:val="24"/>
          <w:szCs w:val="24"/>
        </w:rPr>
        <w:t xml:space="preserve"> </w:t>
      </w:r>
      <w:r w:rsidR="00CD2A7B">
        <w:rPr>
          <w:rFonts w:ascii="Times New Roman" w:eastAsia="Times New Roman" w:hAnsi="Times New Roman" w:cs="Times New Roman"/>
          <w:color w:val="000000"/>
          <w:sz w:val="24"/>
          <w:szCs w:val="24"/>
        </w:rPr>
        <w:t>by a consultant professor at a</w:t>
      </w:r>
      <w:r w:rsidR="0045480C" w:rsidRPr="00432807">
        <w:rPr>
          <w:rFonts w:ascii="Times New Roman" w:eastAsia="Times New Roman" w:hAnsi="Times New Roman" w:cs="Times New Roman"/>
          <w:color w:val="000000"/>
          <w:sz w:val="24"/>
          <w:szCs w:val="24"/>
        </w:rPr>
        <w:t xml:space="preserve"> cost of $1,400</w:t>
      </w:r>
      <w:r w:rsidR="00CD2A7B">
        <w:rPr>
          <w:rFonts w:ascii="Times New Roman" w:eastAsia="Times New Roman" w:hAnsi="Times New Roman" w:cs="Times New Roman"/>
          <w:color w:val="000000"/>
          <w:sz w:val="24"/>
          <w:szCs w:val="24"/>
        </w:rPr>
        <w:t xml:space="preserve"> each</w:t>
      </w:r>
      <w:r w:rsidR="0045480C" w:rsidRPr="00432807">
        <w:rPr>
          <w:rFonts w:ascii="Times New Roman" w:eastAsia="Times New Roman" w:hAnsi="Times New Roman" w:cs="Times New Roman"/>
          <w:color w:val="000000"/>
          <w:sz w:val="24"/>
          <w:szCs w:val="24"/>
        </w:rPr>
        <w:t xml:space="preserve">, for a total cost of $21,000. The course will use an additional 100 page reader, </w:t>
      </w:r>
      <w:r w:rsidR="00CD2A7B">
        <w:rPr>
          <w:rFonts w:ascii="Times New Roman" w:eastAsia="Times New Roman" w:hAnsi="Times New Roman" w:cs="Times New Roman"/>
          <w:color w:val="000000"/>
          <w:sz w:val="24"/>
          <w:szCs w:val="24"/>
        </w:rPr>
        <w:t xml:space="preserve">also </w:t>
      </w:r>
      <w:r w:rsidR="0045480C" w:rsidRPr="00432807">
        <w:rPr>
          <w:rFonts w:ascii="Times New Roman" w:eastAsia="Times New Roman" w:hAnsi="Times New Roman" w:cs="Times New Roman"/>
          <w:color w:val="000000"/>
          <w:sz w:val="24"/>
          <w:szCs w:val="24"/>
        </w:rPr>
        <w:t>prepared by the cons</w:t>
      </w:r>
      <w:r w:rsidR="00CD2A7B">
        <w:rPr>
          <w:rFonts w:ascii="Times New Roman" w:eastAsia="Times New Roman" w:hAnsi="Times New Roman" w:cs="Times New Roman"/>
          <w:color w:val="000000"/>
          <w:sz w:val="24"/>
          <w:szCs w:val="24"/>
        </w:rPr>
        <w:t>ultant professor, at a</w:t>
      </w:r>
      <w:r w:rsidR="0045480C" w:rsidRPr="00432807">
        <w:rPr>
          <w:rFonts w:ascii="Times New Roman" w:eastAsia="Times New Roman" w:hAnsi="Times New Roman" w:cs="Times New Roman"/>
          <w:color w:val="000000"/>
          <w:sz w:val="24"/>
          <w:szCs w:val="24"/>
        </w:rPr>
        <w:t xml:space="preserve"> cost of $900. Layout and design of the study guides and clearance of copyright will be done in-house. The cost for editing and design of the study</w:t>
      </w:r>
      <w:r w:rsidR="00CD2A7B">
        <w:rPr>
          <w:rFonts w:ascii="Times New Roman" w:eastAsia="Times New Roman" w:hAnsi="Times New Roman" w:cs="Times New Roman"/>
          <w:color w:val="000000"/>
          <w:sz w:val="24"/>
          <w:szCs w:val="24"/>
        </w:rPr>
        <w:t xml:space="preserve"> guides is</w:t>
      </w:r>
      <w:r w:rsidR="0045480C">
        <w:rPr>
          <w:rFonts w:ascii="Times New Roman" w:eastAsia="Times New Roman" w:hAnsi="Times New Roman" w:cs="Times New Roman"/>
          <w:color w:val="000000"/>
          <w:sz w:val="24"/>
          <w:szCs w:val="24"/>
        </w:rPr>
        <w:t xml:space="preserve"> $600 f</w:t>
      </w:r>
      <w:r w:rsidR="0045480C" w:rsidRPr="00432807">
        <w:rPr>
          <w:rFonts w:ascii="Times New Roman" w:eastAsia="Times New Roman" w:hAnsi="Times New Roman" w:cs="Times New Roman"/>
          <w:color w:val="000000"/>
          <w:sz w:val="24"/>
          <w:szCs w:val="24"/>
        </w:rPr>
        <w:t xml:space="preserve">or each of the 15 guides at a total cost of $9,000. The expected cost of copyright processing is $1000 per guide, for a total cost of $15,000. </w:t>
      </w:r>
      <w:r w:rsidR="002C025F">
        <w:rPr>
          <w:rFonts w:ascii="Times New Roman" w:hAnsi="Times New Roman" w:cs="Times New Roman"/>
          <w:sz w:val="24"/>
          <w:szCs w:val="24"/>
        </w:rPr>
        <w:t xml:space="preserve">They are </w:t>
      </w:r>
      <w:r w:rsidR="00666A35">
        <w:rPr>
          <w:rFonts w:ascii="Times New Roman" w:hAnsi="Times New Roman" w:cs="Times New Roman"/>
          <w:sz w:val="24"/>
          <w:szCs w:val="24"/>
        </w:rPr>
        <w:t xml:space="preserve">development </w:t>
      </w:r>
      <w:r w:rsidR="002C025F">
        <w:rPr>
          <w:rFonts w:ascii="Times New Roman" w:hAnsi="Times New Roman" w:cs="Times New Roman"/>
          <w:sz w:val="24"/>
          <w:szCs w:val="24"/>
        </w:rPr>
        <w:t>for seven assignments at $3675</w:t>
      </w:r>
      <w:r w:rsidR="009B7B75">
        <w:rPr>
          <w:rFonts w:ascii="Times New Roman" w:hAnsi="Times New Roman" w:cs="Times New Roman"/>
          <w:sz w:val="24"/>
          <w:szCs w:val="24"/>
        </w:rPr>
        <w:t xml:space="preserve"> total</w:t>
      </w:r>
      <w:r w:rsidR="00A11CDF">
        <w:rPr>
          <w:rFonts w:ascii="Times New Roman" w:hAnsi="Times New Roman" w:cs="Times New Roman"/>
          <w:sz w:val="24"/>
          <w:szCs w:val="24"/>
        </w:rPr>
        <w:t>.</w:t>
      </w:r>
      <w:r w:rsidR="00666A35">
        <w:rPr>
          <w:rFonts w:ascii="Times New Roman" w:hAnsi="Times New Roman" w:cs="Times New Roman"/>
          <w:sz w:val="24"/>
          <w:szCs w:val="24"/>
        </w:rPr>
        <w:t xml:space="preserve"> </w:t>
      </w:r>
      <w:r w:rsidR="00A62DCB">
        <w:rPr>
          <w:rFonts w:ascii="Times New Roman" w:hAnsi="Times New Roman" w:cs="Times New Roman"/>
          <w:sz w:val="24"/>
          <w:szCs w:val="24"/>
        </w:rPr>
        <w:t>The total fixed cost for development equal $190,000.</w:t>
      </w:r>
    </w:p>
    <w:p w14:paraId="6D81DF78" w14:textId="010E540B" w:rsidR="00256F87" w:rsidRDefault="00EA026E" w:rsidP="00256F87">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256F87" w:rsidRPr="00432807">
        <w:rPr>
          <w:rFonts w:ascii="Times New Roman" w:eastAsia="Times New Roman" w:hAnsi="Times New Roman" w:cs="Times New Roman"/>
          <w:color w:val="000000"/>
          <w:sz w:val="24"/>
          <w:szCs w:val="24"/>
        </w:rPr>
        <w:t xml:space="preserve">Development and production costs have been capitalized and depreciated over the entire run of the course. </w:t>
      </w:r>
      <w:r w:rsidR="00F67CA5">
        <w:rPr>
          <w:rFonts w:ascii="Times New Roman" w:hAnsi="Times New Roman" w:cs="Times New Roman"/>
          <w:sz w:val="24"/>
          <w:szCs w:val="24"/>
        </w:rPr>
        <w:t>The straight-</w:t>
      </w:r>
      <w:r w:rsidR="00F67CA5" w:rsidRPr="005B1A6F">
        <w:rPr>
          <w:rFonts w:ascii="Times New Roman" w:hAnsi="Times New Roman" w:cs="Times New Roman"/>
          <w:sz w:val="24"/>
          <w:szCs w:val="24"/>
        </w:rPr>
        <w:t xml:space="preserve">line depreciation rate for the development costs is calculated by dividing the fixed costs of development by the number of years the course will be </w:t>
      </w:r>
      <w:r w:rsidR="00256F87">
        <w:rPr>
          <w:rFonts w:ascii="Times New Roman" w:hAnsi="Times New Roman" w:cs="Times New Roman"/>
          <w:sz w:val="24"/>
          <w:szCs w:val="24"/>
        </w:rPr>
        <w:t>offered</w:t>
      </w:r>
      <w:r w:rsidR="00F67CA5">
        <w:rPr>
          <w:rFonts w:ascii="Times New Roman" w:hAnsi="Times New Roman" w:cs="Times New Roman"/>
          <w:sz w:val="24"/>
          <w:szCs w:val="24"/>
        </w:rPr>
        <w:t xml:space="preserve">. </w:t>
      </w:r>
      <w:r w:rsidR="00F67CA5" w:rsidRPr="005B1A6F">
        <w:rPr>
          <w:rFonts w:ascii="Times New Roman" w:hAnsi="Times New Roman" w:cs="Times New Roman"/>
          <w:sz w:val="24"/>
          <w:szCs w:val="24"/>
        </w:rPr>
        <w:t>This is</w:t>
      </w:r>
      <w:r w:rsidR="00F67CA5">
        <w:rPr>
          <w:rFonts w:ascii="Times New Roman" w:hAnsi="Times New Roman" w:cs="Times New Roman"/>
          <w:sz w:val="24"/>
          <w:szCs w:val="24"/>
        </w:rPr>
        <w:t xml:space="preserve"> </w:t>
      </w:r>
      <w:r w:rsidR="00F67CA5" w:rsidRPr="005B1A6F">
        <w:rPr>
          <w:rFonts w:ascii="Times New Roman" w:hAnsi="Times New Roman" w:cs="Times New Roman"/>
          <w:sz w:val="24"/>
          <w:szCs w:val="24"/>
        </w:rPr>
        <w:t>$</w:t>
      </w:r>
      <w:r w:rsidR="00F67CA5">
        <w:rPr>
          <w:rFonts w:ascii="Times New Roman" w:hAnsi="Times New Roman" w:cs="Times New Roman"/>
          <w:sz w:val="24"/>
          <w:szCs w:val="24"/>
        </w:rPr>
        <w:t>64,590</w:t>
      </w:r>
      <w:r w:rsidR="00F67CA5" w:rsidRPr="005B1A6F">
        <w:rPr>
          <w:rFonts w:ascii="Times New Roman" w:hAnsi="Times New Roman" w:cs="Times New Roman"/>
          <w:sz w:val="24"/>
          <w:szCs w:val="24"/>
        </w:rPr>
        <w:t xml:space="preserve"> per year </w:t>
      </w:r>
      <w:r w:rsidR="00F67CA5">
        <w:rPr>
          <w:rFonts w:ascii="Times New Roman" w:hAnsi="Times New Roman" w:cs="Times New Roman"/>
          <w:sz w:val="24"/>
          <w:szCs w:val="24"/>
        </w:rPr>
        <w:t>for the first five years and</w:t>
      </w:r>
      <w:r w:rsidR="00167141">
        <w:rPr>
          <w:rFonts w:ascii="Times New Roman" w:hAnsi="Times New Roman" w:cs="Times New Roman"/>
          <w:sz w:val="24"/>
          <w:szCs w:val="24"/>
        </w:rPr>
        <w:t xml:space="preserve"> is increased in years six through ten to $66,530 due to </w:t>
      </w:r>
      <w:r w:rsidR="00F67CA5">
        <w:rPr>
          <w:rFonts w:ascii="Times New Roman" w:hAnsi="Times New Roman" w:cs="Times New Roman"/>
          <w:sz w:val="24"/>
          <w:szCs w:val="24"/>
        </w:rPr>
        <w:t>the addition of the maintenance cost</w:t>
      </w:r>
      <w:r w:rsidR="00167141">
        <w:rPr>
          <w:rFonts w:ascii="Times New Roman" w:hAnsi="Times New Roman" w:cs="Times New Roman"/>
          <w:sz w:val="24"/>
          <w:szCs w:val="24"/>
        </w:rPr>
        <w:t xml:space="preserve">. </w:t>
      </w:r>
    </w:p>
    <w:p w14:paraId="104E194A" w14:textId="77777777" w:rsidR="009D25D5" w:rsidRDefault="009D25D5" w:rsidP="00256F87">
      <w:pPr>
        <w:spacing w:after="0" w:line="240" w:lineRule="auto"/>
        <w:rPr>
          <w:rFonts w:ascii="Times New Roman" w:hAnsi="Times New Roman" w:cs="Times New Roman"/>
          <w:sz w:val="24"/>
          <w:szCs w:val="24"/>
        </w:rPr>
      </w:pPr>
    </w:p>
    <w:p w14:paraId="4A444122" w14:textId="1DBAE2F2" w:rsidR="00256F87" w:rsidRPr="009D25D5" w:rsidRDefault="00EA026E" w:rsidP="009D25D5">
      <w:pPr>
        <w:rPr>
          <w:rFonts w:ascii="Times New Roman" w:hAnsi="Times New Roman" w:cs="Times New Roman"/>
          <w:sz w:val="24"/>
          <w:szCs w:val="24"/>
        </w:rPr>
      </w:pPr>
      <w:r>
        <w:rPr>
          <w:rFonts w:ascii="Times New Roman" w:hAnsi="Times New Roman" w:cs="Times New Roman"/>
          <w:sz w:val="24"/>
          <w:szCs w:val="24"/>
        </w:rPr>
        <w:tab/>
      </w:r>
      <w:r w:rsidR="009D25D5">
        <w:rPr>
          <w:rFonts w:ascii="Times New Roman" w:hAnsi="Times New Roman" w:cs="Times New Roman"/>
          <w:sz w:val="24"/>
          <w:szCs w:val="24"/>
        </w:rPr>
        <w:t>In addition there are fixed costs for</w:t>
      </w:r>
      <w:r w:rsidR="009D25D5" w:rsidRPr="005B1A6F">
        <w:rPr>
          <w:rFonts w:ascii="Times New Roman" w:hAnsi="Times New Roman" w:cs="Times New Roman"/>
          <w:sz w:val="24"/>
          <w:szCs w:val="24"/>
        </w:rPr>
        <w:t xml:space="preserve"> maintenance</w:t>
      </w:r>
      <w:r w:rsidR="009D25D5">
        <w:rPr>
          <w:rFonts w:ascii="Times New Roman" w:hAnsi="Times New Roman" w:cs="Times New Roman"/>
          <w:sz w:val="24"/>
          <w:szCs w:val="24"/>
        </w:rPr>
        <w:t xml:space="preserve"> of</w:t>
      </w:r>
      <w:r w:rsidR="009D25D5" w:rsidRPr="005B1A6F">
        <w:rPr>
          <w:rFonts w:ascii="Times New Roman" w:hAnsi="Times New Roman" w:cs="Times New Roman"/>
          <w:sz w:val="24"/>
          <w:szCs w:val="24"/>
        </w:rPr>
        <w:t xml:space="preserve"> the material that was initially developed for the course. </w:t>
      </w:r>
      <w:r w:rsidR="009D25D5">
        <w:rPr>
          <w:rFonts w:ascii="Times New Roman" w:hAnsi="Times New Roman" w:cs="Times New Roman"/>
          <w:sz w:val="24"/>
          <w:szCs w:val="24"/>
        </w:rPr>
        <w:t>The costs include some data elements of the original course development. We anticipate that four of the study guides will require update. For the four study guides, authoring, $5,600; editing and design, $2,400; and copyright clearance, $1,700 will total $9,700.</w:t>
      </w:r>
      <w:r w:rsidR="0066040E">
        <w:rPr>
          <w:rFonts w:ascii="Times New Roman" w:hAnsi="Times New Roman" w:cs="Times New Roman"/>
          <w:sz w:val="24"/>
          <w:szCs w:val="24"/>
        </w:rPr>
        <w:t xml:space="preserve"> </w:t>
      </w:r>
      <w:r w:rsidR="009D25D5">
        <w:rPr>
          <w:rFonts w:ascii="Times New Roman" w:hAnsi="Times New Roman" w:cs="Times New Roman"/>
          <w:sz w:val="24"/>
          <w:szCs w:val="24"/>
        </w:rPr>
        <w:t>Maintenance</w:t>
      </w:r>
      <w:r w:rsidR="009D25D5" w:rsidRPr="005B1A6F">
        <w:rPr>
          <w:rFonts w:ascii="Times New Roman" w:hAnsi="Times New Roman" w:cs="Times New Roman"/>
          <w:sz w:val="24"/>
          <w:szCs w:val="24"/>
        </w:rPr>
        <w:t xml:space="preserve"> occur</w:t>
      </w:r>
      <w:r w:rsidR="009D25D5">
        <w:rPr>
          <w:rFonts w:ascii="Times New Roman" w:hAnsi="Times New Roman" w:cs="Times New Roman"/>
          <w:sz w:val="24"/>
          <w:szCs w:val="24"/>
        </w:rPr>
        <w:t>s</w:t>
      </w:r>
      <w:r w:rsidR="009D25D5" w:rsidRPr="005B1A6F">
        <w:rPr>
          <w:rFonts w:ascii="Times New Roman" w:hAnsi="Times New Roman" w:cs="Times New Roman"/>
          <w:sz w:val="24"/>
          <w:szCs w:val="24"/>
        </w:rPr>
        <w:t xml:space="preserve"> prior to year five and </w:t>
      </w:r>
      <w:r w:rsidR="009D25D5">
        <w:rPr>
          <w:rFonts w:ascii="Times New Roman" w:hAnsi="Times New Roman" w:cs="Times New Roman"/>
          <w:sz w:val="24"/>
          <w:szCs w:val="24"/>
        </w:rPr>
        <w:t>is</w:t>
      </w:r>
      <w:r w:rsidR="009D25D5" w:rsidRPr="005B1A6F">
        <w:rPr>
          <w:rFonts w:ascii="Times New Roman" w:hAnsi="Times New Roman" w:cs="Times New Roman"/>
          <w:sz w:val="24"/>
          <w:szCs w:val="24"/>
        </w:rPr>
        <w:t xml:space="preserve"> </w:t>
      </w:r>
      <w:r w:rsidR="007F6F4B">
        <w:rPr>
          <w:rFonts w:ascii="Times New Roman" w:hAnsi="Times New Roman" w:cs="Times New Roman"/>
          <w:sz w:val="24"/>
          <w:szCs w:val="24"/>
        </w:rPr>
        <w:t xml:space="preserve">depreciated </w:t>
      </w:r>
      <w:r w:rsidR="009D25D5" w:rsidRPr="005B1A6F">
        <w:rPr>
          <w:rFonts w:ascii="Times New Roman" w:hAnsi="Times New Roman" w:cs="Times New Roman"/>
          <w:sz w:val="24"/>
          <w:szCs w:val="24"/>
        </w:rPr>
        <w:t xml:space="preserve">over </w:t>
      </w:r>
      <w:r w:rsidR="009D25D5">
        <w:rPr>
          <w:rFonts w:ascii="Times New Roman" w:hAnsi="Times New Roman" w:cs="Times New Roman"/>
          <w:sz w:val="24"/>
          <w:szCs w:val="24"/>
        </w:rPr>
        <w:t>the remaining years (5 through 10</w:t>
      </w:r>
      <w:r w:rsidR="009D25D5" w:rsidRPr="005B1A6F">
        <w:rPr>
          <w:rFonts w:ascii="Times New Roman" w:hAnsi="Times New Roman" w:cs="Times New Roman"/>
          <w:sz w:val="24"/>
          <w:szCs w:val="24"/>
        </w:rPr>
        <w:t xml:space="preserve">) of the course. </w:t>
      </w:r>
    </w:p>
    <w:p w14:paraId="65D0102B" w14:textId="6F1465FD" w:rsidR="0066040E" w:rsidRDefault="00EA026E" w:rsidP="009D25D5">
      <w:pPr>
        <w:rPr>
          <w:rFonts w:ascii="Times New Roman" w:hAnsi="Times New Roman" w:cs="Times New Roman"/>
          <w:sz w:val="24"/>
          <w:szCs w:val="24"/>
        </w:rPr>
      </w:pPr>
      <w:r>
        <w:rPr>
          <w:rFonts w:ascii="Times New Roman" w:eastAsia="Times New Roman" w:hAnsi="Times New Roman" w:cs="Times New Roman"/>
          <w:color w:val="000000"/>
          <w:sz w:val="24"/>
          <w:szCs w:val="24"/>
        </w:rPr>
        <w:tab/>
      </w:r>
      <w:r w:rsidR="00256F87">
        <w:rPr>
          <w:rFonts w:ascii="Times New Roman" w:eastAsia="Times New Roman" w:hAnsi="Times New Roman" w:cs="Times New Roman"/>
          <w:color w:val="000000"/>
          <w:sz w:val="24"/>
          <w:szCs w:val="24"/>
        </w:rPr>
        <w:t xml:space="preserve">For comparison purposes, the fixed costs have been annualized to allow for the estimated cost of money during the life of the course. </w:t>
      </w:r>
      <w:r w:rsidR="00084401">
        <w:rPr>
          <w:rFonts w:ascii="Times New Roman" w:eastAsia="Times New Roman" w:hAnsi="Times New Roman" w:cs="Times New Roman"/>
          <w:color w:val="000000"/>
          <w:sz w:val="24"/>
          <w:szCs w:val="24"/>
        </w:rPr>
        <w:t xml:space="preserve">The </w:t>
      </w:r>
      <w:proofErr w:type="spellStart"/>
      <w:r w:rsidR="00084401">
        <w:rPr>
          <w:rFonts w:ascii="Times New Roman" w:eastAsia="Times New Roman" w:hAnsi="Times New Roman" w:cs="Times New Roman"/>
          <w:color w:val="000000"/>
          <w:sz w:val="24"/>
          <w:szCs w:val="24"/>
        </w:rPr>
        <w:t>a</w:t>
      </w:r>
      <w:r w:rsidR="00084401">
        <w:rPr>
          <w:rFonts w:ascii="Times New Roman" w:hAnsi="Times New Roman" w:cs="Times New Roman"/>
          <w:sz w:val="24"/>
          <w:szCs w:val="24"/>
        </w:rPr>
        <w:t>nnualization</w:t>
      </w:r>
      <w:proofErr w:type="spellEnd"/>
      <w:r w:rsidR="00084401">
        <w:rPr>
          <w:rFonts w:ascii="Times New Roman" w:hAnsi="Times New Roman" w:cs="Times New Roman"/>
          <w:sz w:val="24"/>
          <w:szCs w:val="24"/>
        </w:rPr>
        <w:t xml:space="preserve"> factor considers</w:t>
      </w:r>
      <w:r w:rsidR="009D25D5" w:rsidRPr="005B1A6F">
        <w:rPr>
          <w:rFonts w:ascii="Times New Roman" w:hAnsi="Times New Roman" w:cs="Times New Roman"/>
          <w:sz w:val="24"/>
          <w:szCs w:val="24"/>
        </w:rPr>
        <w:t xml:space="preserve"> the return that could be achieved if the equivalent money were placed in a bank account and earned interest for the period. </w:t>
      </w:r>
      <w:proofErr w:type="spellStart"/>
      <w:r w:rsidR="000D2F10" w:rsidRPr="00432807">
        <w:rPr>
          <w:rFonts w:ascii="Times New Roman" w:hAnsi="Times New Roman" w:cs="Times New Roman"/>
          <w:sz w:val="24"/>
          <w:szCs w:val="24"/>
        </w:rPr>
        <w:t>Bankrate</w:t>
      </w:r>
      <w:proofErr w:type="spellEnd"/>
      <w:r w:rsidR="000D2F10" w:rsidRPr="00432807">
        <w:rPr>
          <w:rFonts w:ascii="Times New Roman" w:hAnsi="Times New Roman" w:cs="Times New Roman"/>
          <w:sz w:val="24"/>
          <w:szCs w:val="24"/>
        </w:rPr>
        <w:t>, Inc. (2015) places the most favorable current interest rate for a certificate of deposit for funds deposited in excess of $100,000 at 2.27%. Assuming that rate continues</w:t>
      </w:r>
      <w:r w:rsidR="000D2F10">
        <w:rPr>
          <w:rFonts w:ascii="Times New Roman" w:hAnsi="Times New Roman" w:cs="Times New Roman"/>
          <w:sz w:val="24"/>
          <w:szCs w:val="24"/>
        </w:rPr>
        <w:t xml:space="preserve"> through the life of the course</w:t>
      </w:r>
      <w:r w:rsidR="000D2F10" w:rsidRPr="00432807">
        <w:rPr>
          <w:rFonts w:ascii="Times New Roman" w:hAnsi="Times New Roman" w:cs="Times New Roman"/>
          <w:sz w:val="24"/>
          <w:szCs w:val="24"/>
        </w:rPr>
        <w:t xml:space="preserve">, annualized </w:t>
      </w:r>
      <w:r w:rsidR="009D25D5">
        <w:rPr>
          <w:rFonts w:ascii="Times New Roman" w:hAnsi="Times New Roman" w:cs="Times New Roman"/>
          <w:sz w:val="24"/>
          <w:szCs w:val="24"/>
        </w:rPr>
        <w:t>fixed</w:t>
      </w:r>
      <w:r w:rsidR="000D2F10" w:rsidRPr="00432807">
        <w:rPr>
          <w:rFonts w:ascii="Times New Roman" w:hAnsi="Times New Roman" w:cs="Times New Roman"/>
          <w:sz w:val="24"/>
          <w:szCs w:val="24"/>
        </w:rPr>
        <w:t xml:space="preserve"> </w:t>
      </w:r>
      <w:r w:rsidR="009D25D5">
        <w:rPr>
          <w:rFonts w:ascii="Times New Roman" w:hAnsi="Times New Roman" w:cs="Times New Roman"/>
          <w:sz w:val="24"/>
          <w:szCs w:val="24"/>
        </w:rPr>
        <w:t xml:space="preserve">development </w:t>
      </w:r>
      <w:r w:rsidR="000D2F10" w:rsidRPr="00432807">
        <w:rPr>
          <w:rFonts w:ascii="Times New Roman" w:hAnsi="Times New Roman" w:cs="Times New Roman"/>
          <w:sz w:val="24"/>
          <w:szCs w:val="24"/>
        </w:rPr>
        <w:t xml:space="preserve">costs for the program </w:t>
      </w:r>
      <w:r w:rsidR="000D2F10">
        <w:rPr>
          <w:rFonts w:ascii="Times New Roman" w:hAnsi="Times New Roman" w:cs="Times New Roman"/>
          <w:sz w:val="24"/>
          <w:szCs w:val="24"/>
        </w:rPr>
        <w:t>are</w:t>
      </w:r>
      <w:r w:rsidR="000D2F10" w:rsidRPr="00432807">
        <w:rPr>
          <w:rFonts w:ascii="Times New Roman" w:hAnsi="Times New Roman" w:cs="Times New Roman"/>
          <w:sz w:val="24"/>
          <w:szCs w:val="24"/>
        </w:rPr>
        <w:t xml:space="preserve"> expected to be </w:t>
      </w:r>
      <w:r w:rsidR="009D25D5">
        <w:rPr>
          <w:rFonts w:ascii="Times New Roman" w:hAnsi="Times New Roman" w:cs="Times New Roman"/>
          <w:sz w:val="24"/>
          <w:szCs w:val="24"/>
        </w:rPr>
        <w:t>$</w:t>
      </w:r>
      <w:r w:rsidR="00DC0BAD">
        <w:rPr>
          <w:rFonts w:ascii="Times New Roman" w:hAnsi="Times New Roman" w:cs="Times New Roman"/>
          <w:sz w:val="24"/>
          <w:szCs w:val="24"/>
        </w:rPr>
        <w:t>13,218</w:t>
      </w:r>
      <w:r w:rsidR="009D25D5">
        <w:rPr>
          <w:rFonts w:ascii="Times New Roman" w:hAnsi="Times New Roman" w:cs="Times New Roman"/>
          <w:sz w:val="24"/>
          <w:szCs w:val="24"/>
        </w:rPr>
        <w:t xml:space="preserve"> for the life of the course. When recurrent costs are included, the total</w:t>
      </w:r>
      <w:r w:rsidR="0075378C">
        <w:rPr>
          <w:rFonts w:ascii="Times New Roman" w:hAnsi="Times New Roman" w:cs="Times New Roman"/>
          <w:sz w:val="24"/>
          <w:szCs w:val="24"/>
        </w:rPr>
        <w:t>, annualized,</w:t>
      </w:r>
      <w:r w:rsidR="009D25D5">
        <w:rPr>
          <w:rFonts w:ascii="Times New Roman" w:hAnsi="Times New Roman" w:cs="Times New Roman"/>
          <w:sz w:val="24"/>
          <w:szCs w:val="24"/>
        </w:rPr>
        <w:t xml:space="preserve"> fixed costs will be </w:t>
      </w:r>
      <w:r w:rsidR="000D2F10" w:rsidRPr="00432807">
        <w:rPr>
          <w:rFonts w:ascii="Times New Roman" w:hAnsi="Times New Roman" w:cs="Times New Roman"/>
          <w:sz w:val="24"/>
          <w:szCs w:val="24"/>
        </w:rPr>
        <w:t>$</w:t>
      </w:r>
      <w:r w:rsidR="00DC0BAD">
        <w:rPr>
          <w:rFonts w:ascii="Times New Roman" w:eastAsia="Times New Roman" w:hAnsi="Times New Roman" w:cs="Times New Roman"/>
          <w:sz w:val="24"/>
          <w:szCs w:val="24"/>
        </w:rPr>
        <w:t>43,468</w:t>
      </w:r>
      <w:r w:rsidR="0075378C">
        <w:rPr>
          <w:rFonts w:ascii="Times New Roman" w:eastAsia="Times New Roman" w:hAnsi="Times New Roman" w:cs="Times New Roman"/>
          <w:sz w:val="24"/>
          <w:szCs w:val="24"/>
        </w:rPr>
        <w:t xml:space="preserve"> per year</w:t>
      </w:r>
      <w:r w:rsidR="0075378C">
        <w:rPr>
          <w:rFonts w:ascii="Arial" w:eastAsia="Times New Roman" w:hAnsi="Arial" w:cs="Arial"/>
          <w:color w:val="C0C0C0"/>
          <w:sz w:val="20"/>
          <w:szCs w:val="20"/>
        </w:rPr>
        <w:t xml:space="preserve"> </w:t>
      </w:r>
      <w:r w:rsidR="009D25D5">
        <w:rPr>
          <w:rFonts w:ascii="Times New Roman" w:hAnsi="Times New Roman" w:cs="Times New Roman"/>
          <w:sz w:val="24"/>
          <w:szCs w:val="24"/>
        </w:rPr>
        <w:t>for the first five years and $</w:t>
      </w:r>
      <w:r w:rsidR="00DC0BAD">
        <w:rPr>
          <w:rFonts w:ascii="Times New Roman" w:hAnsi="Times New Roman" w:cs="Times New Roman"/>
          <w:sz w:val="24"/>
          <w:szCs w:val="24"/>
        </w:rPr>
        <w:t>45,542</w:t>
      </w:r>
      <w:r w:rsidR="0075378C">
        <w:rPr>
          <w:rFonts w:ascii="Times New Roman" w:hAnsi="Times New Roman" w:cs="Times New Roman"/>
          <w:sz w:val="24"/>
          <w:szCs w:val="24"/>
        </w:rPr>
        <w:t xml:space="preserve"> per year</w:t>
      </w:r>
      <w:r w:rsidR="009D25D5">
        <w:rPr>
          <w:rFonts w:ascii="Times New Roman" w:hAnsi="Times New Roman" w:cs="Times New Roman"/>
          <w:sz w:val="24"/>
          <w:szCs w:val="24"/>
        </w:rPr>
        <w:t xml:space="preserve"> for the remaining five years</w:t>
      </w:r>
      <w:r w:rsidR="000D2F10" w:rsidRPr="00432807">
        <w:rPr>
          <w:rFonts w:ascii="Times New Roman" w:hAnsi="Times New Roman" w:cs="Times New Roman"/>
          <w:sz w:val="24"/>
          <w:szCs w:val="24"/>
        </w:rPr>
        <w:t xml:space="preserve">. The </w:t>
      </w:r>
      <w:r w:rsidR="009D25D5">
        <w:rPr>
          <w:rFonts w:ascii="Times New Roman" w:hAnsi="Times New Roman" w:cs="Times New Roman"/>
          <w:sz w:val="24"/>
          <w:szCs w:val="24"/>
        </w:rPr>
        <w:t xml:space="preserve">increase is due to the </w:t>
      </w:r>
      <w:r w:rsidR="000D2F10" w:rsidRPr="00432807">
        <w:rPr>
          <w:rFonts w:ascii="Times New Roman" w:hAnsi="Times New Roman" w:cs="Times New Roman"/>
          <w:sz w:val="24"/>
          <w:szCs w:val="24"/>
        </w:rPr>
        <w:t>annua</w:t>
      </w:r>
      <w:r w:rsidR="009D25D5">
        <w:rPr>
          <w:rFonts w:ascii="Times New Roman" w:hAnsi="Times New Roman" w:cs="Times New Roman"/>
          <w:sz w:val="24"/>
          <w:szCs w:val="24"/>
        </w:rPr>
        <w:t>lized cost of course maintenance, which</w:t>
      </w:r>
      <w:r w:rsidR="000D2F10" w:rsidRPr="00432807">
        <w:rPr>
          <w:rFonts w:ascii="Times New Roman" w:hAnsi="Times New Roman" w:cs="Times New Roman"/>
          <w:sz w:val="24"/>
          <w:szCs w:val="24"/>
        </w:rPr>
        <w:t xml:space="preserve"> </w:t>
      </w:r>
      <w:r w:rsidR="009D25D5">
        <w:rPr>
          <w:rFonts w:ascii="Times New Roman" w:hAnsi="Times New Roman" w:cs="Times New Roman"/>
          <w:sz w:val="24"/>
          <w:szCs w:val="24"/>
        </w:rPr>
        <w:t>is</w:t>
      </w:r>
      <w:r w:rsidR="000D2F10" w:rsidRPr="00432807">
        <w:rPr>
          <w:rFonts w:ascii="Times New Roman" w:hAnsi="Times New Roman" w:cs="Times New Roman"/>
          <w:sz w:val="24"/>
          <w:szCs w:val="24"/>
        </w:rPr>
        <w:t xml:space="preserve"> expected to be $</w:t>
      </w:r>
      <w:r w:rsidR="00445358">
        <w:rPr>
          <w:rFonts w:ascii="Times New Roman" w:hAnsi="Times New Roman" w:cs="Times New Roman"/>
          <w:sz w:val="24"/>
          <w:szCs w:val="24"/>
        </w:rPr>
        <w:t>2074</w:t>
      </w:r>
      <w:r w:rsidR="000D2F10" w:rsidRPr="00432807">
        <w:rPr>
          <w:rFonts w:ascii="Times New Roman" w:hAnsi="Times New Roman" w:cs="Times New Roman"/>
          <w:sz w:val="24"/>
          <w:szCs w:val="24"/>
        </w:rPr>
        <w:t xml:space="preserve"> </w:t>
      </w:r>
      <w:r w:rsidR="000D2F10">
        <w:rPr>
          <w:rFonts w:ascii="Times New Roman" w:hAnsi="Times New Roman" w:cs="Times New Roman"/>
          <w:sz w:val="24"/>
          <w:szCs w:val="24"/>
        </w:rPr>
        <w:t>from year</w:t>
      </w:r>
      <w:r w:rsidR="00084401">
        <w:rPr>
          <w:rFonts w:ascii="Times New Roman" w:hAnsi="Times New Roman" w:cs="Times New Roman"/>
          <w:sz w:val="24"/>
          <w:szCs w:val="24"/>
        </w:rPr>
        <w:t>s</w:t>
      </w:r>
      <w:r w:rsidR="000D2F10">
        <w:rPr>
          <w:rFonts w:ascii="Times New Roman" w:hAnsi="Times New Roman" w:cs="Times New Roman"/>
          <w:sz w:val="24"/>
          <w:szCs w:val="24"/>
        </w:rPr>
        <w:t xml:space="preserve"> six through </w:t>
      </w:r>
      <w:r w:rsidR="000D2F10" w:rsidRPr="00432807">
        <w:rPr>
          <w:rFonts w:ascii="Times New Roman" w:hAnsi="Times New Roman" w:cs="Times New Roman"/>
          <w:sz w:val="24"/>
          <w:szCs w:val="24"/>
        </w:rPr>
        <w:t>ten.</w:t>
      </w:r>
      <w:r w:rsidR="007F6F4B">
        <w:rPr>
          <w:rFonts w:ascii="Times New Roman" w:hAnsi="Times New Roman" w:cs="Times New Roman"/>
          <w:sz w:val="24"/>
          <w:szCs w:val="24"/>
        </w:rPr>
        <w:t xml:space="preserve"> Annualized costs are then used to compute the total cost for the course, to compute the profitability of the course, and determine </w:t>
      </w:r>
      <w:r w:rsidR="00445358">
        <w:rPr>
          <w:rFonts w:ascii="Times New Roman" w:hAnsi="Times New Roman" w:cs="Times New Roman"/>
          <w:sz w:val="24"/>
          <w:szCs w:val="24"/>
        </w:rPr>
        <w:t>the break-</w:t>
      </w:r>
      <w:r w:rsidR="007F6F4B">
        <w:rPr>
          <w:rFonts w:ascii="Times New Roman" w:hAnsi="Times New Roman" w:cs="Times New Roman"/>
          <w:sz w:val="24"/>
          <w:szCs w:val="24"/>
        </w:rPr>
        <w:t>even point for course attendance.</w:t>
      </w:r>
    </w:p>
    <w:p w14:paraId="46B24DD5" w14:textId="2848FD75" w:rsidR="0066040E" w:rsidRDefault="00EA026E" w:rsidP="009D25D5">
      <w:pPr>
        <w:rPr>
          <w:rFonts w:ascii="Times New Roman" w:hAnsi="Times New Roman" w:cs="Times New Roman"/>
          <w:sz w:val="24"/>
          <w:szCs w:val="24"/>
        </w:rPr>
      </w:pPr>
      <w:r>
        <w:rPr>
          <w:rFonts w:ascii="Times New Roman" w:hAnsi="Times New Roman" w:cs="Times New Roman"/>
          <w:sz w:val="24"/>
          <w:szCs w:val="24"/>
        </w:rPr>
        <w:lastRenderedPageBreak/>
        <w:tab/>
        <w:t>Figure 1 is a</w:t>
      </w:r>
      <w:r w:rsidR="0066040E">
        <w:rPr>
          <w:rFonts w:ascii="Times New Roman" w:hAnsi="Times New Roman" w:cs="Times New Roman"/>
          <w:sz w:val="24"/>
          <w:szCs w:val="24"/>
        </w:rPr>
        <w:t xml:space="preserve"> Graphic depiction of the cost analyses for </w:t>
      </w:r>
      <w:r w:rsidR="007333DA">
        <w:rPr>
          <w:rFonts w:ascii="Times New Roman" w:hAnsi="Times New Roman" w:cs="Times New Roman"/>
          <w:sz w:val="24"/>
          <w:szCs w:val="24"/>
        </w:rPr>
        <w:t>a</w:t>
      </w:r>
      <w:r w:rsidR="0066040E">
        <w:rPr>
          <w:rFonts w:ascii="Times New Roman" w:hAnsi="Times New Roman" w:cs="Times New Roman"/>
          <w:sz w:val="24"/>
          <w:szCs w:val="24"/>
        </w:rPr>
        <w:t xml:space="preserve"> 145 student per year </w:t>
      </w:r>
      <w:r w:rsidR="00804DC7">
        <w:rPr>
          <w:rFonts w:ascii="Times New Roman" w:hAnsi="Times New Roman" w:cs="Times New Roman"/>
          <w:sz w:val="24"/>
          <w:szCs w:val="24"/>
        </w:rPr>
        <w:t>cadre</w:t>
      </w:r>
      <w:r w:rsidR="0066040E">
        <w:rPr>
          <w:rFonts w:ascii="Times New Roman" w:hAnsi="Times New Roman" w:cs="Times New Roman"/>
          <w:sz w:val="24"/>
          <w:szCs w:val="24"/>
        </w:rPr>
        <w:t xml:space="preserve"> follows</w:t>
      </w:r>
      <w:r w:rsidR="00804DC7">
        <w:rPr>
          <w:rFonts w:ascii="Times New Roman" w:hAnsi="Times New Roman" w:cs="Times New Roman"/>
          <w:sz w:val="24"/>
          <w:szCs w:val="24"/>
        </w:rPr>
        <w:t>. The break-even point falls in the sixth year of the course.</w:t>
      </w:r>
    </w:p>
    <w:p w14:paraId="16F864DF" w14:textId="52426F6A" w:rsidR="00EA026E" w:rsidRDefault="00EA026E" w:rsidP="00EA026E">
      <w:pPr>
        <w:jc w:val="center"/>
        <w:rPr>
          <w:rFonts w:ascii="Times New Roman" w:hAnsi="Times New Roman" w:cs="Times New Roman"/>
          <w:sz w:val="24"/>
          <w:szCs w:val="24"/>
        </w:rPr>
      </w:pPr>
      <w:r>
        <w:rPr>
          <w:rFonts w:ascii="Times New Roman" w:hAnsi="Times New Roman" w:cs="Times New Roman"/>
          <w:sz w:val="24"/>
          <w:szCs w:val="24"/>
        </w:rPr>
        <w:t>Figure 1.</w:t>
      </w:r>
    </w:p>
    <w:p w14:paraId="4F4357EE" w14:textId="64365985" w:rsidR="0066040E" w:rsidRPr="0066040E" w:rsidRDefault="0066040E" w:rsidP="009D25D5">
      <w:pPr>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14:anchorId="14152613" wp14:editId="70BFB443">
            <wp:extent cx="5679141" cy="2457076"/>
            <wp:effectExtent l="0" t="0" r="36195" b="323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00E3A39" w14:textId="3CBC182E" w:rsidR="00804DC7" w:rsidRDefault="00EA026E" w:rsidP="00187173">
      <w:pPr>
        <w:rPr>
          <w:rFonts w:ascii="Times New Roman" w:hAnsi="Times New Roman" w:cs="Times New Roman"/>
          <w:sz w:val="24"/>
          <w:szCs w:val="24"/>
        </w:rPr>
      </w:pPr>
      <w:r>
        <w:rPr>
          <w:rFonts w:ascii="Times New Roman" w:hAnsi="Times New Roman" w:cs="Times New Roman"/>
          <w:sz w:val="24"/>
          <w:szCs w:val="24"/>
        </w:rPr>
        <w:t>Figure 2 depicts where, a</w:t>
      </w:r>
      <w:r w:rsidR="00804DC7">
        <w:rPr>
          <w:rFonts w:ascii="Times New Roman" w:hAnsi="Times New Roman" w:cs="Times New Roman"/>
          <w:sz w:val="24"/>
          <w:szCs w:val="24"/>
        </w:rPr>
        <w:t>t 165 students, the break-even point occurs in the fifth year of the course.</w:t>
      </w:r>
    </w:p>
    <w:p w14:paraId="11F4001F" w14:textId="58B572D0" w:rsidR="00EA026E" w:rsidRDefault="00EA026E" w:rsidP="00EA026E">
      <w:pPr>
        <w:jc w:val="center"/>
        <w:rPr>
          <w:rFonts w:ascii="Times New Roman" w:hAnsi="Times New Roman" w:cs="Times New Roman"/>
          <w:sz w:val="24"/>
          <w:szCs w:val="24"/>
        </w:rPr>
      </w:pPr>
      <w:r>
        <w:rPr>
          <w:rFonts w:ascii="Times New Roman" w:hAnsi="Times New Roman" w:cs="Times New Roman"/>
          <w:sz w:val="24"/>
          <w:szCs w:val="24"/>
        </w:rPr>
        <w:t>Figure 2.</w:t>
      </w:r>
    </w:p>
    <w:p w14:paraId="3F583A91" w14:textId="0B40F098" w:rsidR="00804DC7" w:rsidRDefault="00804DC7" w:rsidP="00187173">
      <w:pPr>
        <w:rPr>
          <w:rFonts w:ascii="Times New Roman" w:hAnsi="Times New Roman" w:cs="Times New Roman"/>
          <w:sz w:val="24"/>
          <w:szCs w:val="24"/>
        </w:rPr>
      </w:pPr>
      <w:r>
        <w:rPr>
          <w:noProof/>
        </w:rPr>
        <w:drawing>
          <wp:inline distT="0" distB="0" distL="0" distR="0" wp14:anchorId="555ABA6E" wp14:editId="65EB091B">
            <wp:extent cx="5715000" cy="2126876"/>
            <wp:effectExtent l="0" t="0" r="25400" b="323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A111217" w14:textId="0765EDDC" w:rsidR="007333DA" w:rsidRDefault="00084401" w:rsidP="00187173">
      <w:pPr>
        <w:rPr>
          <w:rFonts w:ascii="Times New Roman" w:hAnsi="Times New Roman" w:cs="Times New Roman"/>
          <w:sz w:val="24"/>
          <w:szCs w:val="24"/>
        </w:rPr>
      </w:pPr>
      <w:r>
        <w:rPr>
          <w:rFonts w:ascii="Times New Roman" w:hAnsi="Times New Roman" w:cs="Times New Roman"/>
          <w:sz w:val="24"/>
          <w:szCs w:val="24"/>
        </w:rPr>
        <w:tab/>
      </w:r>
      <w:r w:rsidR="007333DA">
        <w:rPr>
          <w:rFonts w:ascii="Times New Roman" w:hAnsi="Times New Roman" w:cs="Times New Roman"/>
          <w:sz w:val="24"/>
          <w:szCs w:val="24"/>
        </w:rPr>
        <w:t xml:space="preserve">For 185 students per year, the break-even point remains in the fifth year, </w:t>
      </w:r>
      <w:r w:rsidR="00BB6C2D">
        <w:rPr>
          <w:rFonts w:ascii="Times New Roman" w:hAnsi="Times New Roman" w:cs="Times New Roman"/>
          <w:sz w:val="24"/>
          <w:szCs w:val="24"/>
        </w:rPr>
        <w:t>demonstrating</w:t>
      </w:r>
      <w:r w:rsidR="007333DA">
        <w:rPr>
          <w:rFonts w:ascii="Times New Roman" w:hAnsi="Times New Roman" w:cs="Times New Roman"/>
          <w:sz w:val="24"/>
          <w:szCs w:val="24"/>
        </w:rPr>
        <w:t xml:space="preserve"> that student numbers have a </w:t>
      </w:r>
      <w:r>
        <w:rPr>
          <w:rFonts w:ascii="Times New Roman" w:hAnsi="Times New Roman" w:cs="Times New Roman"/>
          <w:sz w:val="24"/>
          <w:szCs w:val="24"/>
        </w:rPr>
        <w:t>decreasing</w:t>
      </w:r>
      <w:r w:rsidR="007333DA">
        <w:rPr>
          <w:rFonts w:ascii="Times New Roman" w:hAnsi="Times New Roman" w:cs="Times New Roman"/>
          <w:sz w:val="24"/>
          <w:szCs w:val="24"/>
        </w:rPr>
        <w:t xml:space="preserve"> effect on profitability as the number of students per course increases.</w:t>
      </w:r>
      <w:r w:rsidR="00EA026E">
        <w:rPr>
          <w:rFonts w:ascii="Times New Roman" w:hAnsi="Times New Roman" w:cs="Times New Roman"/>
          <w:sz w:val="24"/>
          <w:szCs w:val="24"/>
        </w:rPr>
        <w:t xml:space="preserve"> This </w:t>
      </w:r>
      <w:r w:rsidR="00BB6C2D">
        <w:rPr>
          <w:rFonts w:ascii="Times New Roman" w:hAnsi="Times New Roman" w:cs="Times New Roman"/>
          <w:sz w:val="24"/>
          <w:szCs w:val="24"/>
        </w:rPr>
        <w:t xml:space="preserve">effect is depicted </w:t>
      </w:r>
      <w:r w:rsidR="00EA026E">
        <w:rPr>
          <w:rFonts w:ascii="Times New Roman" w:hAnsi="Times New Roman" w:cs="Times New Roman"/>
          <w:sz w:val="24"/>
          <w:szCs w:val="24"/>
        </w:rPr>
        <w:t>in figure 3.</w:t>
      </w:r>
    </w:p>
    <w:p w14:paraId="2C75B438" w14:textId="3A8FA5DB" w:rsidR="00EA026E" w:rsidRDefault="00EA026E" w:rsidP="00EA026E">
      <w:pPr>
        <w:jc w:val="center"/>
        <w:rPr>
          <w:rFonts w:ascii="Times New Roman" w:hAnsi="Times New Roman" w:cs="Times New Roman"/>
          <w:sz w:val="24"/>
          <w:szCs w:val="24"/>
        </w:rPr>
      </w:pPr>
      <w:r>
        <w:rPr>
          <w:rFonts w:ascii="Times New Roman" w:hAnsi="Times New Roman" w:cs="Times New Roman"/>
          <w:sz w:val="24"/>
          <w:szCs w:val="24"/>
        </w:rPr>
        <w:t>Figure 3.</w:t>
      </w:r>
    </w:p>
    <w:p w14:paraId="1E56B422" w14:textId="1D65AB2A" w:rsidR="007333DA" w:rsidRDefault="007333DA" w:rsidP="00187173">
      <w:pPr>
        <w:rPr>
          <w:rFonts w:ascii="Times New Roman" w:hAnsi="Times New Roman" w:cs="Times New Roman"/>
          <w:sz w:val="24"/>
          <w:szCs w:val="24"/>
        </w:rPr>
      </w:pPr>
      <w:r>
        <w:rPr>
          <w:noProof/>
        </w:rPr>
        <w:lastRenderedPageBreak/>
        <w:drawing>
          <wp:inline distT="0" distB="0" distL="0" distR="0" wp14:anchorId="60642D18" wp14:editId="5E1EF992">
            <wp:extent cx="5486400" cy="2539365"/>
            <wp:effectExtent l="0" t="0" r="25400" b="2603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F7F1069" w14:textId="77777777" w:rsidR="00084401" w:rsidRDefault="00084401" w:rsidP="00187173">
      <w:pPr>
        <w:rPr>
          <w:rFonts w:ascii="Times New Roman" w:hAnsi="Times New Roman" w:cs="Times New Roman"/>
          <w:sz w:val="24"/>
          <w:szCs w:val="24"/>
        </w:rPr>
      </w:pPr>
    </w:p>
    <w:p w14:paraId="68A545C3" w14:textId="77777777" w:rsidR="00084401" w:rsidRDefault="00084401" w:rsidP="00187173">
      <w:pPr>
        <w:rPr>
          <w:rFonts w:ascii="Times New Roman" w:hAnsi="Times New Roman" w:cs="Times New Roman"/>
          <w:b/>
          <w:sz w:val="24"/>
          <w:szCs w:val="24"/>
        </w:rPr>
      </w:pPr>
      <w:r>
        <w:rPr>
          <w:rFonts w:ascii="Times New Roman" w:hAnsi="Times New Roman" w:cs="Times New Roman"/>
          <w:b/>
          <w:sz w:val="24"/>
          <w:szCs w:val="24"/>
        </w:rPr>
        <w:t>Variable Costs</w:t>
      </w:r>
    </w:p>
    <w:p w14:paraId="53EFAB7B" w14:textId="64BACEBF" w:rsidR="00187173" w:rsidRPr="005B1A6F" w:rsidRDefault="00084401" w:rsidP="00187173">
      <w:pPr>
        <w:rPr>
          <w:rFonts w:ascii="Times New Roman" w:hAnsi="Times New Roman" w:cs="Times New Roman"/>
          <w:sz w:val="24"/>
          <w:szCs w:val="24"/>
        </w:rPr>
      </w:pPr>
      <w:r>
        <w:rPr>
          <w:rFonts w:ascii="Times New Roman" w:hAnsi="Times New Roman" w:cs="Times New Roman"/>
          <w:b/>
          <w:sz w:val="24"/>
          <w:szCs w:val="24"/>
        </w:rPr>
        <w:tab/>
      </w:r>
      <w:r w:rsidR="00666A35" w:rsidRPr="005B1A6F">
        <w:rPr>
          <w:rFonts w:ascii="Times New Roman" w:hAnsi="Times New Roman" w:cs="Times New Roman"/>
          <w:sz w:val="24"/>
          <w:szCs w:val="24"/>
        </w:rPr>
        <w:t>Variable costs are those that are directly linked to the product quantity</w:t>
      </w:r>
      <w:r w:rsidR="00475BD5">
        <w:rPr>
          <w:rFonts w:ascii="Times New Roman" w:hAnsi="Times New Roman" w:cs="Times New Roman"/>
          <w:sz w:val="24"/>
          <w:szCs w:val="24"/>
        </w:rPr>
        <w:t>.</w:t>
      </w:r>
      <w:r w:rsidR="00666A35" w:rsidRPr="005B1A6F">
        <w:rPr>
          <w:rFonts w:ascii="Times New Roman" w:hAnsi="Times New Roman" w:cs="Times New Roman"/>
          <w:sz w:val="24"/>
          <w:szCs w:val="24"/>
        </w:rPr>
        <w:t xml:space="preserve"> </w:t>
      </w:r>
      <w:r w:rsidR="00445358">
        <w:rPr>
          <w:rFonts w:ascii="Times New Roman" w:hAnsi="Times New Roman" w:cs="Times New Roman"/>
          <w:sz w:val="24"/>
          <w:szCs w:val="24"/>
        </w:rPr>
        <w:t xml:space="preserve"> In distance e</w:t>
      </w:r>
      <w:r w:rsidR="00475BD5">
        <w:rPr>
          <w:rFonts w:ascii="Times New Roman" w:hAnsi="Times New Roman" w:cs="Times New Roman"/>
          <w:sz w:val="24"/>
          <w:szCs w:val="24"/>
        </w:rPr>
        <w:t>ducation, the product quantity is the</w:t>
      </w:r>
      <w:r w:rsidR="00666A35" w:rsidRPr="005B1A6F">
        <w:rPr>
          <w:rFonts w:ascii="Times New Roman" w:hAnsi="Times New Roman" w:cs="Times New Roman"/>
          <w:sz w:val="24"/>
          <w:szCs w:val="24"/>
        </w:rPr>
        <w:t xml:space="preserve"> number of students</w:t>
      </w:r>
      <w:r w:rsidR="00475BD5">
        <w:rPr>
          <w:rFonts w:ascii="Times New Roman" w:hAnsi="Times New Roman" w:cs="Times New Roman"/>
          <w:sz w:val="24"/>
          <w:szCs w:val="24"/>
        </w:rPr>
        <w:t xml:space="preserve"> attending the course. Semi-</w:t>
      </w:r>
      <w:r w:rsidR="007F6F4B">
        <w:rPr>
          <w:rFonts w:ascii="Times New Roman" w:hAnsi="Times New Roman" w:cs="Times New Roman"/>
          <w:sz w:val="24"/>
          <w:szCs w:val="24"/>
        </w:rPr>
        <w:t>variable costs are any costs</w:t>
      </w:r>
      <w:r w:rsidR="00666A35" w:rsidRPr="005B1A6F">
        <w:rPr>
          <w:rFonts w:ascii="Times New Roman" w:hAnsi="Times New Roman" w:cs="Times New Roman"/>
          <w:sz w:val="24"/>
          <w:szCs w:val="24"/>
        </w:rPr>
        <w:t xml:space="preserve"> that may change due to large increases or decreases in the product quantity (Rumble, 1997).</w:t>
      </w:r>
      <w:r w:rsidR="00666A35">
        <w:rPr>
          <w:rFonts w:ascii="Times New Roman" w:hAnsi="Times New Roman" w:cs="Times New Roman"/>
          <w:sz w:val="24"/>
          <w:szCs w:val="24"/>
        </w:rPr>
        <w:t xml:space="preserve"> </w:t>
      </w:r>
      <w:r w:rsidR="00187173" w:rsidRPr="005B1A6F">
        <w:rPr>
          <w:rFonts w:ascii="Times New Roman" w:hAnsi="Times New Roman" w:cs="Times New Roman"/>
          <w:sz w:val="24"/>
          <w:szCs w:val="24"/>
        </w:rPr>
        <w:t>As such they are expressed as a cost per student. The</w:t>
      </w:r>
      <w:r w:rsidR="00445358">
        <w:rPr>
          <w:rFonts w:ascii="Times New Roman" w:hAnsi="Times New Roman" w:cs="Times New Roman"/>
          <w:sz w:val="24"/>
          <w:szCs w:val="24"/>
        </w:rPr>
        <w:t xml:space="preserve"> variable costs for this course</w:t>
      </w:r>
      <w:r w:rsidR="00187173" w:rsidRPr="005B1A6F">
        <w:rPr>
          <w:rFonts w:ascii="Times New Roman" w:hAnsi="Times New Roman" w:cs="Times New Roman"/>
          <w:sz w:val="24"/>
          <w:szCs w:val="24"/>
        </w:rPr>
        <w:t xml:space="preserve"> include grading of </w:t>
      </w:r>
      <w:r w:rsidR="009D25D5">
        <w:rPr>
          <w:rFonts w:ascii="Times New Roman" w:hAnsi="Times New Roman" w:cs="Times New Roman"/>
          <w:sz w:val="24"/>
          <w:szCs w:val="24"/>
        </w:rPr>
        <w:t>seven assignments</w:t>
      </w:r>
      <w:r w:rsidR="00F90275">
        <w:rPr>
          <w:rFonts w:ascii="Times New Roman" w:hAnsi="Times New Roman" w:cs="Times New Roman"/>
          <w:sz w:val="24"/>
          <w:szCs w:val="24"/>
        </w:rPr>
        <w:t xml:space="preserve"> at $32 per assignment per student</w:t>
      </w:r>
      <w:r w:rsidR="009D25D5">
        <w:rPr>
          <w:rFonts w:ascii="Times New Roman" w:hAnsi="Times New Roman" w:cs="Times New Roman"/>
          <w:sz w:val="24"/>
          <w:szCs w:val="24"/>
        </w:rPr>
        <w:t xml:space="preserve"> and</w:t>
      </w:r>
      <w:r w:rsidR="00187173" w:rsidRPr="005B1A6F">
        <w:rPr>
          <w:rFonts w:ascii="Times New Roman" w:hAnsi="Times New Roman" w:cs="Times New Roman"/>
          <w:sz w:val="24"/>
          <w:szCs w:val="24"/>
        </w:rPr>
        <w:t xml:space="preserve"> activities of the tutor</w:t>
      </w:r>
      <w:r w:rsidR="00F90275">
        <w:rPr>
          <w:rFonts w:ascii="Times New Roman" w:hAnsi="Times New Roman" w:cs="Times New Roman"/>
          <w:sz w:val="24"/>
          <w:szCs w:val="24"/>
        </w:rPr>
        <w:t xml:space="preserve"> at $15.50 per hour, in groups of 25 students. It also includes</w:t>
      </w:r>
      <w:r w:rsidR="00187173" w:rsidRPr="005B1A6F">
        <w:rPr>
          <w:rFonts w:ascii="Times New Roman" w:hAnsi="Times New Roman" w:cs="Times New Roman"/>
          <w:sz w:val="24"/>
          <w:szCs w:val="24"/>
        </w:rPr>
        <w:t xml:space="preserve"> the physical items that must be produced for each student </w:t>
      </w:r>
      <w:r w:rsidR="00F90275">
        <w:rPr>
          <w:rFonts w:ascii="Times New Roman" w:hAnsi="Times New Roman" w:cs="Times New Roman"/>
          <w:sz w:val="24"/>
          <w:szCs w:val="24"/>
        </w:rPr>
        <w:t>such as the st</w:t>
      </w:r>
      <w:r w:rsidR="009D25D5">
        <w:rPr>
          <w:rFonts w:ascii="Times New Roman" w:hAnsi="Times New Roman" w:cs="Times New Roman"/>
          <w:sz w:val="24"/>
          <w:szCs w:val="24"/>
        </w:rPr>
        <w:t>udy guides, 15 each at $6.60; t</w:t>
      </w:r>
      <w:r w:rsidR="00F90275">
        <w:rPr>
          <w:rFonts w:ascii="Times New Roman" w:hAnsi="Times New Roman" w:cs="Times New Roman"/>
          <w:sz w:val="24"/>
          <w:szCs w:val="24"/>
        </w:rPr>
        <w:t>he reader at $9.00</w:t>
      </w:r>
      <w:r w:rsidR="000D2F10">
        <w:rPr>
          <w:rFonts w:ascii="Times New Roman" w:hAnsi="Times New Roman" w:cs="Times New Roman"/>
          <w:sz w:val="24"/>
          <w:szCs w:val="24"/>
        </w:rPr>
        <w:t>;</w:t>
      </w:r>
      <w:r w:rsidR="00F90275">
        <w:rPr>
          <w:rFonts w:ascii="Times New Roman" w:hAnsi="Times New Roman" w:cs="Times New Roman"/>
          <w:sz w:val="24"/>
          <w:szCs w:val="24"/>
        </w:rPr>
        <w:t xml:space="preserve"> and </w:t>
      </w:r>
      <w:r w:rsidR="00187173" w:rsidRPr="005B1A6F">
        <w:rPr>
          <w:rFonts w:ascii="Times New Roman" w:hAnsi="Times New Roman" w:cs="Times New Roman"/>
          <w:sz w:val="24"/>
          <w:szCs w:val="24"/>
        </w:rPr>
        <w:t>mailing costs</w:t>
      </w:r>
      <w:r w:rsidR="000D2F10">
        <w:rPr>
          <w:rFonts w:ascii="Times New Roman" w:hAnsi="Times New Roman" w:cs="Times New Roman"/>
          <w:sz w:val="24"/>
          <w:szCs w:val="24"/>
        </w:rPr>
        <w:t xml:space="preserve"> of $12.50</w:t>
      </w:r>
      <w:r w:rsidR="00187173" w:rsidRPr="005B1A6F">
        <w:rPr>
          <w:rFonts w:ascii="Times New Roman" w:hAnsi="Times New Roman" w:cs="Times New Roman"/>
          <w:sz w:val="24"/>
          <w:szCs w:val="24"/>
        </w:rPr>
        <w:t xml:space="preserve"> to get the production materials to each student. The total variable cost per student is $</w:t>
      </w:r>
      <w:r w:rsidR="00F67CA5">
        <w:rPr>
          <w:rFonts w:ascii="Times New Roman" w:hAnsi="Times New Roman" w:cs="Times New Roman"/>
          <w:sz w:val="24"/>
          <w:szCs w:val="24"/>
        </w:rPr>
        <w:t>357.4</w:t>
      </w:r>
      <w:r w:rsidR="00DC0BAD">
        <w:rPr>
          <w:rFonts w:ascii="Times New Roman" w:hAnsi="Times New Roman" w:cs="Times New Roman"/>
          <w:sz w:val="24"/>
          <w:szCs w:val="24"/>
        </w:rPr>
        <w:t>3</w:t>
      </w:r>
      <w:r w:rsidR="00187173" w:rsidRPr="005B1A6F">
        <w:rPr>
          <w:rFonts w:ascii="Times New Roman" w:hAnsi="Times New Roman" w:cs="Times New Roman"/>
          <w:sz w:val="24"/>
          <w:szCs w:val="24"/>
        </w:rPr>
        <w:t xml:space="preserve">. Rumble (1997) discusses these costs stating that they are unambiguously connected to the volume of students enrolled in the course. </w:t>
      </w:r>
    </w:p>
    <w:p w14:paraId="22240361" w14:textId="6D9A6254" w:rsidR="00187173" w:rsidRPr="00E214AF" w:rsidRDefault="00084401" w:rsidP="00187173">
      <w:pPr>
        <w:rPr>
          <w:rFonts w:ascii="Arial" w:eastAsia="Times New Roman" w:hAnsi="Arial" w:cs="Arial"/>
          <w:sz w:val="20"/>
          <w:szCs w:val="20"/>
        </w:rPr>
      </w:pPr>
      <w:r>
        <w:rPr>
          <w:rFonts w:ascii="Times New Roman" w:hAnsi="Times New Roman" w:cs="Times New Roman"/>
          <w:sz w:val="24"/>
          <w:szCs w:val="24"/>
        </w:rPr>
        <w:tab/>
      </w:r>
      <w:r w:rsidR="00EC160E">
        <w:rPr>
          <w:rFonts w:ascii="Times New Roman" w:hAnsi="Times New Roman" w:cs="Times New Roman"/>
          <w:sz w:val="24"/>
          <w:szCs w:val="24"/>
        </w:rPr>
        <w:t>With 145 students attending the class each year, the total cost of the course over its 10 year</w:t>
      </w:r>
      <w:r w:rsidR="00187173" w:rsidRPr="005B1A6F">
        <w:rPr>
          <w:rFonts w:ascii="Times New Roman" w:hAnsi="Times New Roman" w:cs="Times New Roman"/>
          <w:sz w:val="24"/>
          <w:szCs w:val="24"/>
        </w:rPr>
        <w:t xml:space="preserve"> life is </w:t>
      </w:r>
      <w:r w:rsidR="00187173" w:rsidRPr="00026485">
        <w:rPr>
          <w:rFonts w:ascii="Times New Roman" w:hAnsi="Times New Roman" w:cs="Times New Roman"/>
          <w:sz w:val="24"/>
          <w:szCs w:val="24"/>
        </w:rPr>
        <w:t>$</w:t>
      </w:r>
      <w:r w:rsidR="00E214AF" w:rsidRPr="00E214AF">
        <w:rPr>
          <w:rFonts w:ascii="Times New Roman" w:eastAsia="Times New Roman" w:hAnsi="Times New Roman" w:cs="Times New Roman"/>
          <w:sz w:val="24"/>
          <w:szCs w:val="24"/>
        </w:rPr>
        <w:t>963,328</w:t>
      </w:r>
      <w:r w:rsidR="00187173" w:rsidRPr="005B1A6F">
        <w:rPr>
          <w:rFonts w:ascii="Times New Roman" w:eastAsia="Times New Roman" w:hAnsi="Times New Roman" w:cs="Times New Roman"/>
          <w:sz w:val="24"/>
          <w:szCs w:val="24"/>
        </w:rPr>
        <w:t xml:space="preserve">, calculated by adding the total </w:t>
      </w:r>
      <w:r w:rsidR="00E214AF">
        <w:rPr>
          <w:rFonts w:ascii="Times New Roman" w:eastAsia="Times New Roman" w:hAnsi="Times New Roman" w:cs="Times New Roman"/>
          <w:sz w:val="24"/>
          <w:szCs w:val="24"/>
        </w:rPr>
        <w:t xml:space="preserve">annualized </w:t>
      </w:r>
      <w:r w:rsidR="00187173" w:rsidRPr="005B1A6F">
        <w:rPr>
          <w:rFonts w:ascii="Times New Roman" w:eastAsia="Times New Roman" w:hAnsi="Times New Roman" w:cs="Times New Roman"/>
          <w:sz w:val="24"/>
          <w:szCs w:val="24"/>
        </w:rPr>
        <w:t>fixed costs ($</w:t>
      </w:r>
      <w:r w:rsidR="00E214AF">
        <w:rPr>
          <w:rFonts w:ascii="Times New Roman" w:eastAsia="Times New Roman" w:hAnsi="Times New Roman" w:cs="Times New Roman"/>
          <w:sz w:val="24"/>
          <w:szCs w:val="24"/>
        </w:rPr>
        <w:t>445,050</w:t>
      </w:r>
      <w:r w:rsidR="00187173" w:rsidRPr="005B1A6F">
        <w:rPr>
          <w:rFonts w:ascii="Times New Roman" w:eastAsia="Times New Roman" w:hAnsi="Times New Roman" w:cs="Times New Roman"/>
          <w:sz w:val="24"/>
          <w:szCs w:val="24"/>
        </w:rPr>
        <w:t>) to the variable costs ($</w:t>
      </w:r>
      <w:r w:rsidR="00026485">
        <w:rPr>
          <w:rFonts w:ascii="Times New Roman" w:eastAsia="Times New Roman" w:hAnsi="Times New Roman" w:cs="Times New Roman"/>
          <w:sz w:val="24"/>
          <w:szCs w:val="24"/>
        </w:rPr>
        <w:t>357.43</w:t>
      </w:r>
      <w:r w:rsidR="00187173" w:rsidRPr="005B1A6F">
        <w:rPr>
          <w:rFonts w:ascii="Times New Roman" w:eastAsia="Times New Roman" w:hAnsi="Times New Roman" w:cs="Times New Roman"/>
          <w:sz w:val="24"/>
          <w:szCs w:val="24"/>
        </w:rPr>
        <w:t>) multiplied by the cumulative number of students (</w:t>
      </w:r>
      <w:r w:rsidR="00E214AF">
        <w:rPr>
          <w:rFonts w:ascii="Times New Roman" w:eastAsia="Times New Roman" w:hAnsi="Times New Roman" w:cs="Times New Roman"/>
          <w:sz w:val="24"/>
          <w:szCs w:val="24"/>
        </w:rPr>
        <w:t>1450 at 145 per year</w:t>
      </w:r>
      <w:r w:rsidR="00187173" w:rsidRPr="005B1A6F">
        <w:rPr>
          <w:rFonts w:ascii="Times New Roman" w:eastAsia="Times New Roman" w:hAnsi="Times New Roman" w:cs="Times New Roman"/>
          <w:sz w:val="24"/>
          <w:szCs w:val="24"/>
        </w:rPr>
        <w:t>).</w:t>
      </w:r>
    </w:p>
    <w:p w14:paraId="24BC73C0" w14:textId="119BA7DD" w:rsidR="00187173" w:rsidRDefault="00187173" w:rsidP="00187173">
      <w:pPr>
        <w:jc w:val="center"/>
        <w:rPr>
          <w:rFonts w:ascii="Times New Roman" w:eastAsia="Times New Roman" w:hAnsi="Times New Roman" w:cs="Times New Roman"/>
          <w:sz w:val="24"/>
          <w:szCs w:val="24"/>
        </w:rPr>
      </w:pPr>
      <w:r w:rsidRPr="005B1A6F">
        <w:rPr>
          <w:rFonts w:ascii="Times New Roman" w:eastAsia="Times New Roman" w:hAnsi="Times New Roman" w:cs="Times New Roman"/>
          <w:sz w:val="24"/>
          <w:szCs w:val="24"/>
        </w:rPr>
        <w:t>$</w:t>
      </w:r>
      <w:r w:rsidR="00E214AF">
        <w:rPr>
          <w:rFonts w:ascii="Times New Roman" w:eastAsia="Times New Roman" w:hAnsi="Times New Roman" w:cs="Times New Roman"/>
          <w:sz w:val="24"/>
          <w:szCs w:val="24"/>
        </w:rPr>
        <w:t>963,328</w:t>
      </w:r>
      <w:r w:rsidRPr="005B1A6F">
        <w:rPr>
          <w:rFonts w:ascii="Times New Roman" w:eastAsia="Times New Roman" w:hAnsi="Times New Roman" w:cs="Times New Roman"/>
          <w:sz w:val="24"/>
          <w:szCs w:val="24"/>
        </w:rPr>
        <w:t>=$</w:t>
      </w:r>
      <w:r w:rsidR="00E214AF">
        <w:rPr>
          <w:rFonts w:ascii="Times New Roman" w:eastAsia="Times New Roman" w:hAnsi="Times New Roman" w:cs="Times New Roman"/>
          <w:sz w:val="24"/>
          <w:szCs w:val="24"/>
        </w:rPr>
        <w:t>445,050</w:t>
      </w:r>
      <w:proofErr w:type="gramStart"/>
      <w:r w:rsidR="00026485">
        <w:rPr>
          <w:rFonts w:ascii="Times New Roman" w:eastAsia="Times New Roman" w:hAnsi="Times New Roman" w:cs="Times New Roman"/>
          <w:sz w:val="24"/>
          <w:szCs w:val="24"/>
        </w:rPr>
        <w:t>+(</w:t>
      </w:r>
      <w:proofErr w:type="gramEnd"/>
      <w:r w:rsidR="00026485">
        <w:rPr>
          <w:rFonts w:ascii="Times New Roman" w:eastAsia="Times New Roman" w:hAnsi="Times New Roman" w:cs="Times New Roman"/>
          <w:sz w:val="24"/>
          <w:szCs w:val="24"/>
        </w:rPr>
        <w:t>$</w:t>
      </w:r>
      <w:r w:rsidR="00445358">
        <w:rPr>
          <w:rFonts w:ascii="Times New Roman" w:eastAsia="Times New Roman" w:hAnsi="Times New Roman" w:cs="Times New Roman"/>
          <w:sz w:val="24"/>
          <w:szCs w:val="24"/>
        </w:rPr>
        <w:t>357.43X1450</w:t>
      </w:r>
      <w:r w:rsidR="00026485">
        <w:rPr>
          <w:rFonts w:ascii="Times New Roman" w:eastAsia="Times New Roman" w:hAnsi="Times New Roman" w:cs="Times New Roman"/>
          <w:sz w:val="24"/>
          <w:szCs w:val="24"/>
        </w:rPr>
        <w:t>)</w:t>
      </w:r>
    </w:p>
    <w:p w14:paraId="6CB164CA" w14:textId="56BB34C3" w:rsidR="00187173" w:rsidRDefault="00084401" w:rsidP="0018717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2A6D">
        <w:rPr>
          <w:rFonts w:ascii="Times New Roman" w:eastAsia="Times New Roman" w:hAnsi="Times New Roman" w:cs="Times New Roman"/>
          <w:sz w:val="24"/>
          <w:szCs w:val="24"/>
        </w:rPr>
        <w:t>With 165 students</w:t>
      </w:r>
      <w:r w:rsidR="00EC160E">
        <w:rPr>
          <w:rFonts w:ascii="Times New Roman" w:eastAsia="Times New Roman" w:hAnsi="Times New Roman" w:cs="Times New Roman"/>
          <w:sz w:val="24"/>
          <w:szCs w:val="24"/>
        </w:rPr>
        <w:t xml:space="preserve"> the cost increases to $1,034,81</w:t>
      </w:r>
      <w:r w:rsidR="00E95B9F">
        <w:rPr>
          <w:rFonts w:ascii="Times New Roman" w:eastAsia="Times New Roman" w:hAnsi="Times New Roman" w:cs="Times New Roman"/>
          <w:sz w:val="24"/>
          <w:szCs w:val="24"/>
        </w:rPr>
        <w:t>0</w:t>
      </w:r>
      <w:r w:rsidR="00EC160E">
        <w:rPr>
          <w:rFonts w:ascii="Times New Roman" w:eastAsia="Times New Roman" w:hAnsi="Times New Roman" w:cs="Times New Roman"/>
          <w:sz w:val="24"/>
          <w:szCs w:val="24"/>
        </w:rPr>
        <w:t>.</w:t>
      </w:r>
      <w:r w:rsidR="00B32A6D">
        <w:rPr>
          <w:rFonts w:ascii="Times New Roman" w:eastAsia="Times New Roman" w:hAnsi="Times New Roman" w:cs="Times New Roman"/>
          <w:sz w:val="24"/>
          <w:szCs w:val="24"/>
        </w:rPr>
        <w:t xml:space="preserve"> At 185 students the cost increases to $1,106,296.</w:t>
      </w:r>
      <w:r w:rsidR="00EC160E">
        <w:rPr>
          <w:rFonts w:ascii="Times New Roman" w:eastAsia="Times New Roman" w:hAnsi="Times New Roman" w:cs="Times New Roman"/>
          <w:sz w:val="24"/>
          <w:szCs w:val="24"/>
        </w:rPr>
        <w:t xml:space="preserve"> </w:t>
      </w:r>
      <w:r w:rsidR="00A7693C">
        <w:rPr>
          <w:rFonts w:ascii="Times New Roman" w:eastAsia="Times New Roman" w:hAnsi="Times New Roman" w:cs="Times New Roman"/>
          <w:sz w:val="24"/>
          <w:szCs w:val="24"/>
        </w:rPr>
        <w:t xml:space="preserve">A graph of the total cost </w:t>
      </w:r>
      <w:r w:rsidR="00E214AF">
        <w:rPr>
          <w:rFonts w:ascii="Times New Roman" w:eastAsia="Times New Roman" w:hAnsi="Times New Roman" w:cs="Times New Roman"/>
          <w:sz w:val="24"/>
          <w:szCs w:val="24"/>
        </w:rPr>
        <w:t xml:space="preserve">at each of the breaks in student numbers </w:t>
      </w:r>
      <w:r w:rsidR="00187173" w:rsidRPr="005B1A6F">
        <w:rPr>
          <w:rFonts w:ascii="Times New Roman" w:eastAsia="Times New Roman" w:hAnsi="Times New Roman" w:cs="Times New Roman"/>
          <w:sz w:val="24"/>
          <w:szCs w:val="24"/>
        </w:rPr>
        <w:t>follows:</w:t>
      </w:r>
    </w:p>
    <w:p w14:paraId="47C8F750" w14:textId="4D342E8F" w:rsidR="00445358" w:rsidRPr="005B1A6F" w:rsidRDefault="00B32A6D" w:rsidP="00187173">
      <w:pPr>
        <w:rPr>
          <w:rFonts w:ascii="Times New Roman" w:eastAsia="Times New Roman" w:hAnsi="Times New Roman" w:cs="Times New Roman"/>
          <w:sz w:val="24"/>
          <w:szCs w:val="24"/>
        </w:rPr>
      </w:pPr>
      <w:r>
        <w:rPr>
          <w:noProof/>
        </w:rPr>
        <w:lastRenderedPageBreak/>
        <w:drawing>
          <wp:inline distT="0" distB="0" distL="0" distR="0" wp14:anchorId="65EAF22C" wp14:editId="34126542">
            <wp:extent cx="5486400" cy="22860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1D6F7F" w14:textId="55EADB4F" w:rsidR="00187173" w:rsidRPr="005B1A6F" w:rsidRDefault="00084401" w:rsidP="00187173">
      <w:pPr>
        <w:rPr>
          <w:rFonts w:ascii="Times New Roman" w:hAnsi="Times New Roman" w:cs="Times New Roman"/>
          <w:sz w:val="24"/>
          <w:szCs w:val="24"/>
        </w:rPr>
      </w:pPr>
      <w:r>
        <w:rPr>
          <w:rFonts w:ascii="Times New Roman" w:hAnsi="Times New Roman" w:cs="Times New Roman"/>
          <w:sz w:val="24"/>
          <w:szCs w:val="24"/>
        </w:rPr>
        <w:tab/>
      </w:r>
      <w:r w:rsidR="00B32A6D">
        <w:rPr>
          <w:rFonts w:ascii="Times New Roman" w:hAnsi="Times New Roman" w:cs="Times New Roman"/>
          <w:sz w:val="24"/>
          <w:szCs w:val="24"/>
        </w:rPr>
        <w:t>It is apparent from the chart that, for this course, fixed costs are the most significant cost drivers. Variable costs, associated with changes in the number of students, are less significant.</w:t>
      </w:r>
    </w:p>
    <w:p w14:paraId="138FB83A" w14:textId="3A7061D1" w:rsidR="00187173" w:rsidRPr="005B1A6F" w:rsidRDefault="00084401" w:rsidP="00187173">
      <w:pPr>
        <w:rPr>
          <w:rFonts w:ascii="Times New Roman" w:hAnsi="Times New Roman" w:cs="Times New Roman"/>
          <w:sz w:val="24"/>
          <w:szCs w:val="24"/>
        </w:rPr>
      </w:pPr>
      <w:r>
        <w:rPr>
          <w:rFonts w:ascii="Times New Roman" w:hAnsi="Times New Roman" w:cs="Times New Roman"/>
          <w:sz w:val="24"/>
          <w:szCs w:val="24"/>
        </w:rPr>
        <w:tab/>
      </w:r>
      <w:r w:rsidR="00B32A6D">
        <w:rPr>
          <w:rFonts w:ascii="Times New Roman" w:hAnsi="Times New Roman" w:cs="Times New Roman"/>
          <w:sz w:val="24"/>
          <w:szCs w:val="24"/>
        </w:rPr>
        <w:t xml:space="preserve">With 145 students per year, the course will become profitable in the seventh year it is offered, at a break-even point of 928 students. </w:t>
      </w:r>
      <w:r>
        <w:rPr>
          <w:rFonts w:ascii="Times New Roman" w:hAnsi="Times New Roman" w:cs="Times New Roman"/>
          <w:sz w:val="24"/>
          <w:szCs w:val="24"/>
        </w:rPr>
        <w:t xml:space="preserve">The break-even point of 928 students does not change regardless of the number of students attending the course in a particular year. </w:t>
      </w:r>
    </w:p>
    <w:p w14:paraId="466F7B4B" w14:textId="246FE635" w:rsidR="00187173" w:rsidRPr="005B1A6F" w:rsidRDefault="00BB6C2D" w:rsidP="00187173">
      <w:pPr>
        <w:spacing w:after="0"/>
        <w:rPr>
          <w:rFonts w:ascii="Times New Roman" w:hAnsi="Times New Roman" w:cs="Times New Roman"/>
          <w:sz w:val="24"/>
          <w:szCs w:val="24"/>
        </w:rPr>
      </w:pPr>
      <w:r>
        <w:rPr>
          <w:rFonts w:ascii="Times New Roman" w:hAnsi="Times New Roman" w:cs="Times New Roman"/>
          <w:sz w:val="24"/>
          <w:szCs w:val="24"/>
        </w:rPr>
        <w:t>The a</w:t>
      </w:r>
      <w:r w:rsidR="00B32A6D">
        <w:rPr>
          <w:rFonts w:ascii="Times New Roman" w:hAnsi="Times New Roman" w:cs="Times New Roman"/>
          <w:sz w:val="24"/>
          <w:szCs w:val="24"/>
        </w:rPr>
        <w:t xml:space="preserve">nnualized </w:t>
      </w:r>
      <w:r>
        <w:rPr>
          <w:rFonts w:ascii="Times New Roman" w:hAnsi="Times New Roman" w:cs="Times New Roman"/>
          <w:sz w:val="24"/>
          <w:szCs w:val="24"/>
        </w:rPr>
        <w:t>total c</w:t>
      </w:r>
      <w:r w:rsidR="00187173" w:rsidRPr="005B1A6F">
        <w:rPr>
          <w:rFonts w:ascii="Times New Roman" w:hAnsi="Times New Roman" w:cs="Times New Roman"/>
          <w:sz w:val="24"/>
          <w:szCs w:val="24"/>
        </w:rPr>
        <w:t>ost</w:t>
      </w:r>
      <w:r w:rsidR="00E877D2">
        <w:rPr>
          <w:rFonts w:ascii="Times New Roman" w:hAnsi="Times New Roman" w:cs="Times New Roman"/>
          <w:sz w:val="24"/>
          <w:szCs w:val="24"/>
        </w:rPr>
        <w:t xml:space="preserve"> for the course is</w:t>
      </w:r>
      <w:r w:rsidR="00187173" w:rsidRPr="005B1A6F">
        <w:rPr>
          <w:rFonts w:ascii="Times New Roman" w:hAnsi="Times New Roman" w:cs="Times New Roman"/>
          <w:sz w:val="24"/>
          <w:szCs w:val="24"/>
        </w:rPr>
        <w:t xml:space="preserve"> $</w:t>
      </w:r>
      <w:r w:rsidR="00B32A6D">
        <w:rPr>
          <w:rFonts w:ascii="Times New Roman" w:hAnsi="Times New Roman" w:cs="Times New Roman"/>
          <w:sz w:val="24"/>
          <w:szCs w:val="24"/>
        </w:rPr>
        <w:t>445,050</w:t>
      </w:r>
      <w:r>
        <w:rPr>
          <w:rFonts w:ascii="Times New Roman" w:hAnsi="Times New Roman" w:cs="Times New Roman"/>
          <w:sz w:val="24"/>
          <w:szCs w:val="24"/>
        </w:rPr>
        <w:t xml:space="preserve">. At $279 per credit hour, the expected student fees equal </w:t>
      </w:r>
      <w:r w:rsidR="00187173" w:rsidRPr="005B1A6F">
        <w:rPr>
          <w:rFonts w:ascii="Times New Roman" w:hAnsi="Times New Roman" w:cs="Times New Roman"/>
          <w:sz w:val="24"/>
          <w:szCs w:val="24"/>
        </w:rPr>
        <w:t>$</w:t>
      </w:r>
      <w:r w:rsidR="00B32A6D">
        <w:rPr>
          <w:rFonts w:ascii="Times New Roman" w:hAnsi="Times New Roman" w:cs="Times New Roman"/>
          <w:sz w:val="24"/>
          <w:szCs w:val="24"/>
        </w:rPr>
        <w:t>837</w:t>
      </w:r>
      <w:r>
        <w:rPr>
          <w:rFonts w:ascii="Times New Roman" w:hAnsi="Times New Roman" w:cs="Times New Roman"/>
          <w:sz w:val="24"/>
          <w:szCs w:val="24"/>
        </w:rPr>
        <w:t xml:space="preserve"> for the three-credit course. The aggregate unit cost per student, inclusive of the items listed under the variable costs is</w:t>
      </w:r>
      <w:r w:rsidR="00187173" w:rsidRPr="005B1A6F">
        <w:rPr>
          <w:rFonts w:ascii="Times New Roman" w:hAnsi="Times New Roman" w:cs="Times New Roman"/>
          <w:sz w:val="24"/>
          <w:szCs w:val="24"/>
        </w:rPr>
        <w:t xml:space="preserve"> $</w:t>
      </w:r>
      <w:r w:rsidR="00B32A6D">
        <w:rPr>
          <w:rFonts w:ascii="Times New Roman" w:hAnsi="Times New Roman" w:cs="Times New Roman"/>
          <w:sz w:val="24"/>
          <w:szCs w:val="24"/>
        </w:rPr>
        <w:t>357.43</w:t>
      </w:r>
      <w:r>
        <w:rPr>
          <w:rFonts w:ascii="Times New Roman" w:hAnsi="Times New Roman" w:cs="Times New Roman"/>
          <w:sz w:val="24"/>
          <w:szCs w:val="24"/>
        </w:rPr>
        <w:t>. The number of student b</w:t>
      </w:r>
      <w:r w:rsidR="00E877D2">
        <w:rPr>
          <w:rFonts w:ascii="Times New Roman" w:hAnsi="Times New Roman" w:cs="Times New Roman"/>
          <w:sz w:val="24"/>
          <w:szCs w:val="24"/>
        </w:rPr>
        <w:t>reak-</w:t>
      </w:r>
      <w:r>
        <w:rPr>
          <w:rFonts w:ascii="Times New Roman" w:hAnsi="Times New Roman" w:cs="Times New Roman"/>
          <w:sz w:val="24"/>
          <w:szCs w:val="24"/>
        </w:rPr>
        <w:t>even point is calculated as follows.</w:t>
      </w:r>
      <w:r w:rsidR="00B32A6D">
        <w:rPr>
          <w:rFonts w:ascii="Times New Roman" w:hAnsi="Times New Roman" w:cs="Times New Roman"/>
          <w:sz w:val="24"/>
          <w:szCs w:val="24"/>
        </w:rPr>
        <w:tab/>
      </w:r>
    </w:p>
    <w:p w14:paraId="6823798E" w14:textId="2B6DAF89" w:rsidR="00187173" w:rsidRDefault="00187173" w:rsidP="00187173">
      <w:pPr>
        <w:jc w:val="center"/>
        <w:rPr>
          <w:rFonts w:ascii="Times New Roman" w:hAnsi="Times New Roman" w:cs="Times New Roman"/>
          <w:sz w:val="24"/>
          <w:szCs w:val="24"/>
        </w:rPr>
      </w:pPr>
      <w:r w:rsidRPr="005B1A6F">
        <w:rPr>
          <w:rFonts w:ascii="Times New Roman" w:hAnsi="Times New Roman" w:cs="Times New Roman"/>
          <w:sz w:val="24"/>
          <w:szCs w:val="24"/>
        </w:rPr>
        <w:t>Break</w:t>
      </w:r>
      <w:r w:rsidR="00D473CD">
        <w:rPr>
          <w:rFonts w:ascii="Times New Roman" w:hAnsi="Times New Roman" w:cs="Times New Roman"/>
          <w:sz w:val="24"/>
          <w:szCs w:val="24"/>
        </w:rPr>
        <w:t>-</w:t>
      </w:r>
      <w:r w:rsidRPr="005B1A6F">
        <w:rPr>
          <w:rFonts w:ascii="Times New Roman" w:hAnsi="Times New Roman" w:cs="Times New Roman"/>
          <w:sz w:val="24"/>
          <w:szCs w:val="24"/>
        </w:rPr>
        <w:t>even = $</w:t>
      </w:r>
      <w:r w:rsidR="00B32A6D">
        <w:rPr>
          <w:rFonts w:ascii="Times New Roman" w:hAnsi="Times New Roman" w:cs="Times New Roman"/>
          <w:sz w:val="24"/>
          <w:szCs w:val="24"/>
        </w:rPr>
        <w:t>445,050</w:t>
      </w:r>
      <w:proofErr w:type="gramStart"/>
      <w:r w:rsidRPr="005B1A6F">
        <w:rPr>
          <w:rFonts w:ascii="Times New Roman" w:hAnsi="Times New Roman" w:cs="Times New Roman"/>
          <w:sz w:val="24"/>
          <w:szCs w:val="24"/>
        </w:rPr>
        <w:t>/(</w:t>
      </w:r>
      <w:proofErr w:type="gramEnd"/>
      <w:r w:rsidRPr="005B1A6F">
        <w:rPr>
          <w:rFonts w:ascii="Times New Roman" w:hAnsi="Times New Roman" w:cs="Times New Roman"/>
          <w:sz w:val="24"/>
          <w:szCs w:val="24"/>
        </w:rPr>
        <w:t>$</w:t>
      </w:r>
      <w:r w:rsidR="00B32A6D">
        <w:rPr>
          <w:rFonts w:ascii="Times New Roman" w:hAnsi="Times New Roman" w:cs="Times New Roman"/>
          <w:sz w:val="24"/>
          <w:szCs w:val="24"/>
        </w:rPr>
        <w:t>837</w:t>
      </w:r>
      <w:r w:rsidRPr="005B1A6F">
        <w:rPr>
          <w:rFonts w:ascii="Times New Roman" w:hAnsi="Times New Roman" w:cs="Times New Roman"/>
          <w:sz w:val="24"/>
          <w:szCs w:val="24"/>
        </w:rPr>
        <w:t>-$</w:t>
      </w:r>
      <w:r w:rsidR="00B32A6D">
        <w:rPr>
          <w:rFonts w:ascii="Times New Roman" w:hAnsi="Times New Roman" w:cs="Times New Roman"/>
          <w:sz w:val="24"/>
          <w:szCs w:val="24"/>
        </w:rPr>
        <w:t>357.43</w:t>
      </w:r>
      <w:r w:rsidRPr="005B1A6F">
        <w:rPr>
          <w:rFonts w:ascii="Times New Roman" w:hAnsi="Times New Roman" w:cs="Times New Roman"/>
          <w:sz w:val="24"/>
          <w:szCs w:val="24"/>
        </w:rPr>
        <w:t xml:space="preserve">) = </w:t>
      </w:r>
      <w:r w:rsidR="00D473CD">
        <w:rPr>
          <w:rFonts w:ascii="Times New Roman" w:hAnsi="Times New Roman" w:cs="Times New Roman"/>
          <w:sz w:val="24"/>
          <w:szCs w:val="24"/>
        </w:rPr>
        <w:t>928</w:t>
      </w:r>
    </w:p>
    <w:p w14:paraId="29F3DC09" w14:textId="24231B39" w:rsidR="00D473CD" w:rsidRPr="00EA026E" w:rsidRDefault="00D473CD" w:rsidP="00EA026E">
      <w:pPr>
        <w:jc w:val="center"/>
        <w:rPr>
          <w:rFonts w:ascii="Times New Roman" w:hAnsi="Times New Roman" w:cs="Times New Roman"/>
          <w:b/>
          <w:sz w:val="24"/>
          <w:szCs w:val="24"/>
        </w:rPr>
      </w:pPr>
      <w:r w:rsidRPr="00EA026E">
        <w:rPr>
          <w:rFonts w:ascii="Times New Roman" w:hAnsi="Times New Roman" w:cs="Times New Roman"/>
          <w:b/>
          <w:sz w:val="24"/>
          <w:szCs w:val="24"/>
        </w:rPr>
        <w:t>Recommendation:</w:t>
      </w:r>
    </w:p>
    <w:p w14:paraId="0B4D00C4" w14:textId="76DA4030" w:rsidR="00D473CD" w:rsidRPr="00D473CD" w:rsidRDefault="00D473CD" w:rsidP="00D473CD">
      <w:pPr>
        <w:rPr>
          <w:rFonts w:ascii="Times New Roman" w:hAnsi="Times New Roman" w:cs="Times New Roman"/>
          <w:sz w:val="24"/>
          <w:szCs w:val="24"/>
        </w:rPr>
      </w:pPr>
      <w:r>
        <w:rPr>
          <w:rFonts w:ascii="Times New Roman" w:hAnsi="Times New Roman" w:cs="Times New Roman"/>
          <w:sz w:val="24"/>
          <w:szCs w:val="24"/>
        </w:rPr>
        <w:tab/>
        <w:t>We recommend that this course be adopted. The break-even point is well before the intended end to the class, reducing the risk that the class will become unprofitable overall. Further, the number of students is conservatively estimated for an introductory, survey course that is likely to be attended by many freshman and sophomore students who are interested in becoming History majors.</w:t>
      </w:r>
    </w:p>
    <w:p w14:paraId="48376987" w14:textId="44A52906" w:rsidR="008E12F9" w:rsidRPr="0066040E" w:rsidRDefault="0066040E" w:rsidP="0066040E">
      <w:pPr>
        <w:spacing w:after="0"/>
        <w:jc w:val="center"/>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24"/>
          <w:szCs w:val="24"/>
        </w:rPr>
        <w:lastRenderedPageBreak/>
        <w:t>References</w:t>
      </w:r>
    </w:p>
    <w:p w14:paraId="1CDBD84D" w14:textId="77777777" w:rsidR="006A43BD" w:rsidRPr="00432807" w:rsidRDefault="006A43BD">
      <w:pPr>
        <w:rPr>
          <w:rFonts w:ascii="Times New Roman" w:hAnsi="Times New Roman" w:cs="Times New Roman"/>
          <w:sz w:val="24"/>
          <w:szCs w:val="24"/>
        </w:rPr>
      </w:pPr>
    </w:p>
    <w:p w14:paraId="1A973DD1" w14:textId="5CBF8DB0" w:rsidR="0066040E" w:rsidRDefault="006A43BD" w:rsidP="0066040E">
      <w:pPr>
        <w:ind w:left="720" w:hanging="720"/>
        <w:rPr>
          <w:rFonts w:ascii="Times New Roman" w:hAnsi="Times New Roman" w:cs="Times New Roman"/>
          <w:sz w:val="24"/>
          <w:szCs w:val="24"/>
        </w:rPr>
      </w:pPr>
      <w:proofErr w:type="spellStart"/>
      <w:r w:rsidRPr="00432807">
        <w:rPr>
          <w:rFonts w:ascii="Times New Roman" w:hAnsi="Times New Roman" w:cs="Times New Roman"/>
          <w:sz w:val="24"/>
          <w:szCs w:val="24"/>
        </w:rPr>
        <w:t>Bankrate</w:t>
      </w:r>
      <w:proofErr w:type="spellEnd"/>
      <w:r w:rsidRPr="00432807">
        <w:rPr>
          <w:rFonts w:ascii="Times New Roman" w:hAnsi="Times New Roman" w:cs="Times New Roman"/>
          <w:sz w:val="24"/>
          <w:szCs w:val="24"/>
        </w:rPr>
        <w:t xml:space="preserve">, Inc. (2015). Today’s Highest CD Rates. Retrieved on 4/7/2015 from </w:t>
      </w:r>
      <w:r w:rsidR="0066040E" w:rsidRPr="0066040E">
        <w:rPr>
          <w:rFonts w:ascii="Times New Roman" w:hAnsi="Times New Roman" w:cs="Times New Roman"/>
          <w:sz w:val="24"/>
          <w:szCs w:val="24"/>
        </w:rPr>
        <w:t>http://www.bankrate.com/partners/sem/cd-rates-v8</w:t>
      </w:r>
    </w:p>
    <w:p w14:paraId="09C86A57" w14:textId="372B3A17" w:rsidR="0066040E" w:rsidRPr="005B1A6F" w:rsidRDefault="0066040E" w:rsidP="0066040E">
      <w:pPr>
        <w:ind w:left="720" w:hanging="720"/>
        <w:rPr>
          <w:rFonts w:ascii="Times New Roman" w:hAnsi="Times New Roman" w:cs="Times New Roman"/>
          <w:sz w:val="24"/>
          <w:szCs w:val="24"/>
        </w:rPr>
      </w:pPr>
      <w:r w:rsidRPr="005B1A6F">
        <w:rPr>
          <w:rFonts w:ascii="Times New Roman" w:hAnsi="Times New Roman" w:cs="Times New Roman"/>
          <w:sz w:val="24"/>
          <w:szCs w:val="24"/>
        </w:rPr>
        <w:t xml:space="preserve">Rumble, G. (1997). </w:t>
      </w:r>
      <w:r w:rsidRPr="005B1A6F">
        <w:rPr>
          <w:rFonts w:ascii="Times New Roman" w:hAnsi="Times New Roman" w:cs="Times New Roman"/>
          <w:i/>
          <w:sz w:val="24"/>
          <w:szCs w:val="24"/>
        </w:rPr>
        <w:t>The costs and economics of open and distance learning.</w:t>
      </w:r>
      <w:r w:rsidRPr="005B1A6F">
        <w:rPr>
          <w:rFonts w:ascii="Times New Roman" w:hAnsi="Times New Roman" w:cs="Times New Roman"/>
          <w:sz w:val="24"/>
          <w:szCs w:val="24"/>
        </w:rPr>
        <w:t xml:space="preserve"> Retrieved from </w:t>
      </w:r>
      <w:r>
        <w:rPr>
          <w:rFonts w:ascii="Times New Roman" w:hAnsi="Times New Roman" w:cs="Times New Roman"/>
          <w:sz w:val="24"/>
          <w:szCs w:val="24"/>
        </w:rPr>
        <w:t>A</w:t>
      </w:r>
      <w:r w:rsidRPr="005B1A6F">
        <w:rPr>
          <w:rFonts w:ascii="Times New Roman" w:hAnsi="Times New Roman" w:cs="Times New Roman"/>
          <w:sz w:val="24"/>
          <w:szCs w:val="24"/>
        </w:rPr>
        <w:t>mazon.com</w:t>
      </w:r>
      <w:bookmarkStart w:id="0" w:name="_GoBack"/>
      <w:bookmarkEnd w:id="0"/>
    </w:p>
    <w:sectPr w:rsidR="0066040E" w:rsidRPr="005B1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F9"/>
    <w:rsid w:val="000009D2"/>
    <w:rsid w:val="000017F9"/>
    <w:rsid w:val="00013FA3"/>
    <w:rsid w:val="00016ECE"/>
    <w:rsid w:val="00021F21"/>
    <w:rsid w:val="00026485"/>
    <w:rsid w:val="00063935"/>
    <w:rsid w:val="00074884"/>
    <w:rsid w:val="00084401"/>
    <w:rsid w:val="00084BFF"/>
    <w:rsid w:val="000A1D72"/>
    <w:rsid w:val="000B1298"/>
    <w:rsid w:val="000C53B5"/>
    <w:rsid w:val="000C773C"/>
    <w:rsid w:val="000D2F10"/>
    <w:rsid w:val="000D582A"/>
    <w:rsid w:val="000D5D2B"/>
    <w:rsid w:val="000D6409"/>
    <w:rsid w:val="000F575F"/>
    <w:rsid w:val="00116328"/>
    <w:rsid w:val="0013089E"/>
    <w:rsid w:val="00143475"/>
    <w:rsid w:val="0014481D"/>
    <w:rsid w:val="0015209F"/>
    <w:rsid w:val="00153686"/>
    <w:rsid w:val="001607D7"/>
    <w:rsid w:val="00167141"/>
    <w:rsid w:val="00170AB3"/>
    <w:rsid w:val="00175314"/>
    <w:rsid w:val="00176DE6"/>
    <w:rsid w:val="00182A07"/>
    <w:rsid w:val="00187145"/>
    <w:rsid w:val="00187173"/>
    <w:rsid w:val="001A2B1E"/>
    <w:rsid w:val="001A55DD"/>
    <w:rsid w:val="001B68D6"/>
    <w:rsid w:val="001D5158"/>
    <w:rsid w:val="001D63BD"/>
    <w:rsid w:val="001E1618"/>
    <w:rsid w:val="001E648A"/>
    <w:rsid w:val="001E704D"/>
    <w:rsid w:val="002021C4"/>
    <w:rsid w:val="00206B3C"/>
    <w:rsid w:val="002072AF"/>
    <w:rsid w:val="002160FA"/>
    <w:rsid w:val="00222DF5"/>
    <w:rsid w:val="00223D8E"/>
    <w:rsid w:val="00235E19"/>
    <w:rsid w:val="00236C7F"/>
    <w:rsid w:val="00255DB0"/>
    <w:rsid w:val="00256F87"/>
    <w:rsid w:val="00261C75"/>
    <w:rsid w:val="00263B7D"/>
    <w:rsid w:val="00285522"/>
    <w:rsid w:val="00285542"/>
    <w:rsid w:val="002B1C59"/>
    <w:rsid w:val="002B4C32"/>
    <w:rsid w:val="002B5579"/>
    <w:rsid w:val="002B76AB"/>
    <w:rsid w:val="002C025F"/>
    <w:rsid w:val="002C7DBF"/>
    <w:rsid w:val="002F1FEE"/>
    <w:rsid w:val="0030278B"/>
    <w:rsid w:val="00305706"/>
    <w:rsid w:val="0031479F"/>
    <w:rsid w:val="00315E02"/>
    <w:rsid w:val="00327CDE"/>
    <w:rsid w:val="00342A1E"/>
    <w:rsid w:val="003452DC"/>
    <w:rsid w:val="0036476D"/>
    <w:rsid w:val="00397E56"/>
    <w:rsid w:val="003B4639"/>
    <w:rsid w:val="003C567B"/>
    <w:rsid w:val="003C5DF4"/>
    <w:rsid w:val="003D1525"/>
    <w:rsid w:val="003D5C13"/>
    <w:rsid w:val="003F227A"/>
    <w:rsid w:val="00405257"/>
    <w:rsid w:val="00422CB7"/>
    <w:rsid w:val="00432807"/>
    <w:rsid w:val="00440371"/>
    <w:rsid w:val="00445358"/>
    <w:rsid w:val="0045480C"/>
    <w:rsid w:val="004612C6"/>
    <w:rsid w:val="00461859"/>
    <w:rsid w:val="00467D62"/>
    <w:rsid w:val="00473BB5"/>
    <w:rsid w:val="00475BD5"/>
    <w:rsid w:val="00490221"/>
    <w:rsid w:val="00496B22"/>
    <w:rsid w:val="004B730E"/>
    <w:rsid w:val="004B7BD5"/>
    <w:rsid w:val="004C08AE"/>
    <w:rsid w:val="004E22F5"/>
    <w:rsid w:val="004E4320"/>
    <w:rsid w:val="00536BE6"/>
    <w:rsid w:val="005461F6"/>
    <w:rsid w:val="005546C8"/>
    <w:rsid w:val="00562ECF"/>
    <w:rsid w:val="0056483C"/>
    <w:rsid w:val="00583DFF"/>
    <w:rsid w:val="00586905"/>
    <w:rsid w:val="005A3CF6"/>
    <w:rsid w:val="005B7835"/>
    <w:rsid w:val="005C215A"/>
    <w:rsid w:val="005D6839"/>
    <w:rsid w:val="005D6DD6"/>
    <w:rsid w:val="0060034A"/>
    <w:rsid w:val="006051F0"/>
    <w:rsid w:val="00606A8A"/>
    <w:rsid w:val="00613544"/>
    <w:rsid w:val="00621B0E"/>
    <w:rsid w:val="006228BC"/>
    <w:rsid w:val="006262C0"/>
    <w:rsid w:val="006262C5"/>
    <w:rsid w:val="00630779"/>
    <w:rsid w:val="006479C1"/>
    <w:rsid w:val="006559F5"/>
    <w:rsid w:val="0066040E"/>
    <w:rsid w:val="006646F2"/>
    <w:rsid w:val="00666A35"/>
    <w:rsid w:val="00674605"/>
    <w:rsid w:val="00696FDB"/>
    <w:rsid w:val="006A43BD"/>
    <w:rsid w:val="006A4582"/>
    <w:rsid w:val="006B24DF"/>
    <w:rsid w:val="006B3234"/>
    <w:rsid w:val="006B3354"/>
    <w:rsid w:val="006B33C5"/>
    <w:rsid w:val="006B4D60"/>
    <w:rsid w:val="006D2DCB"/>
    <w:rsid w:val="006E643D"/>
    <w:rsid w:val="006E7993"/>
    <w:rsid w:val="0071016A"/>
    <w:rsid w:val="007179A7"/>
    <w:rsid w:val="00717F37"/>
    <w:rsid w:val="00720AEA"/>
    <w:rsid w:val="00727DAB"/>
    <w:rsid w:val="007333DA"/>
    <w:rsid w:val="00750114"/>
    <w:rsid w:val="0075378C"/>
    <w:rsid w:val="00780B7E"/>
    <w:rsid w:val="0079312A"/>
    <w:rsid w:val="007942A3"/>
    <w:rsid w:val="00795A10"/>
    <w:rsid w:val="007B0F46"/>
    <w:rsid w:val="007C5FD1"/>
    <w:rsid w:val="007D4D4B"/>
    <w:rsid w:val="007F6F4B"/>
    <w:rsid w:val="00804DC7"/>
    <w:rsid w:val="00811842"/>
    <w:rsid w:val="008129DD"/>
    <w:rsid w:val="00823F60"/>
    <w:rsid w:val="00825037"/>
    <w:rsid w:val="0083523C"/>
    <w:rsid w:val="00837E4C"/>
    <w:rsid w:val="00874708"/>
    <w:rsid w:val="008A3A7D"/>
    <w:rsid w:val="008D4857"/>
    <w:rsid w:val="008E12F9"/>
    <w:rsid w:val="008F257A"/>
    <w:rsid w:val="00922EBE"/>
    <w:rsid w:val="00932D64"/>
    <w:rsid w:val="00935EB3"/>
    <w:rsid w:val="009434A5"/>
    <w:rsid w:val="0096043A"/>
    <w:rsid w:val="0097318F"/>
    <w:rsid w:val="009A7C0F"/>
    <w:rsid w:val="009B4E5A"/>
    <w:rsid w:val="009B7B75"/>
    <w:rsid w:val="009C0012"/>
    <w:rsid w:val="009C50A8"/>
    <w:rsid w:val="009D25D5"/>
    <w:rsid w:val="009D6A81"/>
    <w:rsid w:val="009F05DE"/>
    <w:rsid w:val="00A02D5D"/>
    <w:rsid w:val="00A11CDF"/>
    <w:rsid w:val="00A31BF0"/>
    <w:rsid w:val="00A376A7"/>
    <w:rsid w:val="00A450BB"/>
    <w:rsid w:val="00A550AB"/>
    <w:rsid w:val="00A5681B"/>
    <w:rsid w:val="00A62DCB"/>
    <w:rsid w:val="00A7693C"/>
    <w:rsid w:val="00A855B9"/>
    <w:rsid w:val="00A85ACE"/>
    <w:rsid w:val="00AB2AE1"/>
    <w:rsid w:val="00AC2A50"/>
    <w:rsid w:val="00AD40A8"/>
    <w:rsid w:val="00AF2B63"/>
    <w:rsid w:val="00AF2D8D"/>
    <w:rsid w:val="00B04CC0"/>
    <w:rsid w:val="00B32A6D"/>
    <w:rsid w:val="00B371D3"/>
    <w:rsid w:val="00B55880"/>
    <w:rsid w:val="00B73188"/>
    <w:rsid w:val="00B86472"/>
    <w:rsid w:val="00BA6FDE"/>
    <w:rsid w:val="00BB0BD2"/>
    <w:rsid w:val="00BB6C2D"/>
    <w:rsid w:val="00BC170A"/>
    <w:rsid w:val="00BD101B"/>
    <w:rsid w:val="00BE21AD"/>
    <w:rsid w:val="00BE5BEB"/>
    <w:rsid w:val="00C2459C"/>
    <w:rsid w:val="00C27D6C"/>
    <w:rsid w:val="00C33F0E"/>
    <w:rsid w:val="00C7090A"/>
    <w:rsid w:val="00C742FF"/>
    <w:rsid w:val="00C967C8"/>
    <w:rsid w:val="00CA5278"/>
    <w:rsid w:val="00CB2653"/>
    <w:rsid w:val="00CC4451"/>
    <w:rsid w:val="00CD2A7B"/>
    <w:rsid w:val="00CF5B07"/>
    <w:rsid w:val="00D36F30"/>
    <w:rsid w:val="00D473CD"/>
    <w:rsid w:val="00D618E3"/>
    <w:rsid w:val="00D67AB3"/>
    <w:rsid w:val="00D73D93"/>
    <w:rsid w:val="00D774AD"/>
    <w:rsid w:val="00D91DDE"/>
    <w:rsid w:val="00DA7E4F"/>
    <w:rsid w:val="00DC0BAD"/>
    <w:rsid w:val="00DD3EBB"/>
    <w:rsid w:val="00DD4A55"/>
    <w:rsid w:val="00DE3C35"/>
    <w:rsid w:val="00DF6B7E"/>
    <w:rsid w:val="00E04707"/>
    <w:rsid w:val="00E106E9"/>
    <w:rsid w:val="00E214AF"/>
    <w:rsid w:val="00E552A4"/>
    <w:rsid w:val="00E622AF"/>
    <w:rsid w:val="00E71BC4"/>
    <w:rsid w:val="00E74E04"/>
    <w:rsid w:val="00E828C8"/>
    <w:rsid w:val="00E877D2"/>
    <w:rsid w:val="00E94297"/>
    <w:rsid w:val="00E95B9F"/>
    <w:rsid w:val="00EA026E"/>
    <w:rsid w:val="00EB30EC"/>
    <w:rsid w:val="00EB50FF"/>
    <w:rsid w:val="00EC09C6"/>
    <w:rsid w:val="00EC160E"/>
    <w:rsid w:val="00EC1F5E"/>
    <w:rsid w:val="00EC21A3"/>
    <w:rsid w:val="00EC7EB9"/>
    <w:rsid w:val="00ED3311"/>
    <w:rsid w:val="00ED4325"/>
    <w:rsid w:val="00EE3378"/>
    <w:rsid w:val="00EF6D93"/>
    <w:rsid w:val="00EF75B2"/>
    <w:rsid w:val="00F0532B"/>
    <w:rsid w:val="00F13193"/>
    <w:rsid w:val="00F170B4"/>
    <w:rsid w:val="00F2168F"/>
    <w:rsid w:val="00F26E42"/>
    <w:rsid w:val="00F27A8F"/>
    <w:rsid w:val="00F41B75"/>
    <w:rsid w:val="00F50D6A"/>
    <w:rsid w:val="00F65EAA"/>
    <w:rsid w:val="00F67CA5"/>
    <w:rsid w:val="00F90275"/>
    <w:rsid w:val="00FA6AD9"/>
    <w:rsid w:val="00FB4AA0"/>
    <w:rsid w:val="00FB61DE"/>
    <w:rsid w:val="00FD364E"/>
    <w:rsid w:val="00FD7E49"/>
    <w:rsid w:val="00FE2426"/>
    <w:rsid w:val="00FF2193"/>
    <w:rsid w:val="00FF7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62D15"/>
  <w15:docId w15:val="{F91EC669-B4E2-46AB-8109-6536C1DF0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12F9"/>
    <w:rPr>
      <w:sz w:val="16"/>
      <w:szCs w:val="16"/>
    </w:rPr>
  </w:style>
  <w:style w:type="paragraph" w:styleId="CommentText">
    <w:name w:val="annotation text"/>
    <w:basedOn w:val="Normal"/>
    <w:link w:val="CommentTextChar"/>
    <w:uiPriority w:val="99"/>
    <w:semiHidden/>
    <w:unhideWhenUsed/>
    <w:rsid w:val="008E12F9"/>
    <w:pPr>
      <w:spacing w:line="240" w:lineRule="auto"/>
    </w:pPr>
    <w:rPr>
      <w:sz w:val="20"/>
      <w:szCs w:val="20"/>
    </w:rPr>
  </w:style>
  <w:style w:type="character" w:customStyle="1" w:styleId="CommentTextChar">
    <w:name w:val="Comment Text Char"/>
    <w:basedOn w:val="DefaultParagraphFont"/>
    <w:link w:val="CommentText"/>
    <w:uiPriority w:val="99"/>
    <w:semiHidden/>
    <w:rsid w:val="008E12F9"/>
    <w:rPr>
      <w:sz w:val="20"/>
      <w:szCs w:val="20"/>
    </w:rPr>
  </w:style>
  <w:style w:type="paragraph" w:styleId="CommentSubject">
    <w:name w:val="annotation subject"/>
    <w:basedOn w:val="CommentText"/>
    <w:next w:val="CommentText"/>
    <w:link w:val="CommentSubjectChar"/>
    <w:uiPriority w:val="99"/>
    <w:semiHidden/>
    <w:unhideWhenUsed/>
    <w:rsid w:val="008E12F9"/>
    <w:rPr>
      <w:b/>
      <w:bCs/>
    </w:rPr>
  </w:style>
  <w:style w:type="character" w:customStyle="1" w:styleId="CommentSubjectChar">
    <w:name w:val="Comment Subject Char"/>
    <w:basedOn w:val="CommentTextChar"/>
    <w:link w:val="CommentSubject"/>
    <w:uiPriority w:val="99"/>
    <w:semiHidden/>
    <w:rsid w:val="008E12F9"/>
    <w:rPr>
      <w:b/>
      <w:bCs/>
      <w:sz w:val="20"/>
      <w:szCs w:val="20"/>
    </w:rPr>
  </w:style>
  <w:style w:type="paragraph" w:styleId="BalloonText">
    <w:name w:val="Balloon Text"/>
    <w:basedOn w:val="Normal"/>
    <w:link w:val="BalloonTextChar"/>
    <w:uiPriority w:val="99"/>
    <w:semiHidden/>
    <w:unhideWhenUsed/>
    <w:rsid w:val="008E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2F9"/>
    <w:rPr>
      <w:rFonts w:ascii="Segoe UI" w:hAnsi="Segoe UI" w:cs="Segoe UI"/>
      <w:sz w:val="18"/>
      <w:szCs w:val="18"/>
    </w:rPr>
  </w:style>
  <w:style w:type="character" w:styleId="Hyperlink">
    <w:name w:val="Hyperlink"/>
    <w:basedOn w:val="DefaultParagraphFont"/>
    <w:uiPriority w:val="99"/>
    <w:unhideWhenUsed/>
    <w:rsid w:val="006604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4724">
      <w:bodyDiv w:val="1"/>
      <w:marLeft w:val="0"/>
      <w:marRight w:val="0"/>
      <w:marTop w:val="0"/>
      <w:marBottom w:val="0"/>
      <w:divBdr>
        <w:top w:val="none" w:sz="0" w:space="0" w:color="auto"/>
        <w:left w:val="none" w:sz="0" w:space="0" w:color="auto"/>
        <w:bottom w:val="none" w:sz="0" w:space="0" w:color="auto"/>
        <w:right w:val="none" w:sz="0" w:space="0" w:color="auto"/>
      </w:divBdr>
    </w:div>
    <w:div w:id="882791376">
      <w:bodyDiv w:val="1"/>
      <w:marLeft w:val="0"/>
      <w:marRight w:val="0"/>
      <w:marTop w:val="0"/>
      <w:marBottom w:val="0"/>
      <w:divBdr>
        <w:top w:val="none" w:sz="0" w:space="0" w:color="auto"/>
        <w:left w:val="none" w:sz="0" w:space="0" w:color="auto"/>
        <w:bottom w:val="none" w:sz="0" w:space="0" w:color="auto"/>
        <w:right w:val="none" w:sz="0" w:space="0" w:color="auto"/>
      </w:divBdr>
    </w:div>
    <w:div w:id="1663774452">
      <w:bodyDiv w:val="1"/>
      <w:marLeft w:val="0"/>
      <w:marRight w:val="0"/>
      <w:marTop w:val="0"/>
      <w:marBottom w:val="0"/>
      <w:divBdr>
        <w:top w:val="none" w:sz="0" w:space="0" w:color="auto"/>
        <w:left w:val="none" w:sz="0" w:space="0" w:color="auto"/>
        <w:bottom w:val="none" w:sz="0" w:space="0" w:color="auto"/>
        <w:right w:val="none" w:sz="0" w:space="0" w:color="auto"/>
      </w:divBdr>
    </w:div>
    <w:div w:id="1784416746">
      <w:bodyDiv w:val="1"/>
      <w:marLeft w:val="0"/>
      <w:marRight w:val="0"/>
      <w:marTop w:val="0"/>
      <w:marBottom w:val="0"/>
      <w:divBdr>
        <w:top w:val="none" w:sz="0" w:space="0" w:color="auto"/>
        <w:left w:val="none" w:sz="0" w:space="0" w:color="auto"/>
        <w:bottom w:val="none" w:sz="0" w:space="0" w:color="auto"/>
        <w:right w:val="none" w:sz="0" w:space="0" w:color="auto"/>
      </w:divBdr>
    </w:div>
    <w:div w:id="2084256467">
      <w:bodyDiv w:val="1"/>
      <w:marLeft w:val="0"/>
      <w:marRight w:val="0"/>
      <w:marTop w:val="0"/>
      <w:marBottom w:val="0"/>
      <w:divBdr>
        <w:top w:val="none" w:sz="0" w:space="0" w:color="auto"/>
        <w:left w:val="none" w:sz="0" w:space="0" w:color="auto"/>
        <w:bottom w:val="none" w:sz="0" w:space="0" w:color="auto"/>
        <w:right w:val="none" w:sz="0" w:space="0" w:color="auto"/>
      </w:divBdr>
      <w:divsChild>
        <w:div w:id="934748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michaelshowers:Desktop:class%20workbook.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Macintosh%20HD:Users:michaelshowers:Desktop:class%20workbook.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Macintosh%20HD:Users:michaelshowers:Desktop:class%20workbook.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ichaelshowers:Desktop:class%20workbook.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Cost Analysis with 145 Students</a:t>
            </a:r>
            <a:r>
              <a:rPr lang="en-US" baseline="0"/>
              <a:t> Per Year</a:t>
            </a:r>
            <a:endParaRPr lang="en-US"/>
          </a:p>
        </c:rich>
      </c:tx>
      <c:layout/>
      <c:overlay val="0"/>
    </c:title>
    <c:autoTitleDeleted val="0"/>
    <c:plotArea>
      <c:layout/>
      <c:lineChart>
        <c:grouping val="standard"/>
        <c:varyColors val="0"/>
        <c:ser>
          <c:idx val="0"/>
          <c:order val="0"/>
          <c:tx>
            <c:strRef>
              <c:f>Graphs!$C$6</c:f>
              <c:strCache>
                <c:ptCount val="1"/>
                <c:pt idx="0">
                  <c:v>F annualized (total)</c:v>
                </c:pt>
              </c:strCache>
            </c:strRef>
          </c:tx>
          <c:spPr>
            <a:ln w="76200" cmpd="sng"/>
          </c:spPr>
          <c:marker>
            <c:symbol val="none"/>
          </c:marker>
          <c:val>
            <c:numRef>
              <c:f>Graphs!$D$6:$M$6</c:f>
              <c:numCache>
                <c:formatCode>#,##0</c:formatCode>
                <c:ptCount val="10"/>
                <c:pt idx="0">
                  <c:v>445050</c:v>
                </c:pt>
                <c:pt idx="1">
                  <c:v>445050</c:v>
                </c:pt>
                <c:pt idx="2">
                  <c:v>445050</c:v>
                </c:pt>
                <c:pt idx="3">
                  <c:v>445050</c:v>
                </c:pt>
                <c:pt idx="4">
                  <c:v>445050</c:v>
                </c:pt>
                <c:pt idx="5">
                  <c:v>445050</c:v>
                </c:pt>
                <c:pt idx="6">
                  <c:v>445050</c:v>
                </c:pt>
                <c:pt idx="7">
                  <c:v>445050</c:v>
                </c:pt>
                <c:pt idx="8">
                  <c:v>445050</c:v>
                </c:pt>
                <c:pt idx="9">
                  <c:v>445050</c:v>
                </c:pt>
              </c:numCache>
            </c:numRef>
          </c:val>
          <c:smooth val="0"/>
        </c:ser>
        <c:ser>
          <c:idx val="2"/>
          <c:order val="1"/>
          <c:tx>
            <c:strRef>
              <c:f>Graphs!$C$8</c:f>
              <c:strCache>
                <c:ptCount val="1"/>
                <c:pt idx="0">
                  <c:v>TC=F+VxN</c:v>
                </c:pt>
              </c:strCache>
            </c:strRef>
          </c:tx>
          <c:spPr>
            <a:ln w="76200" cmpd="sng"/>
          </c:spPr>
          <c:marker>
            <c:symbol val="none"/>
          </c:marker>
          <c:val>
            <c:numRef>
              <c:f>Graphs!$D$8:$M$8</c:f>
              <c:numCache>
                <c:formatCode>#,##0</c:formatCode>
                <c:ptCount val="10"/>
                <c:pt idx="0">
                  <c:v>496877.83333333331</c:v>
                </c:pt>
                <c:pt idx="1">
                  <c:v>548705.66666666698</c:v>
                </c:pt>
                <c:pt idx="2">
                  <c:v>600533.5</c:v>
                </c:pt>
                <c:pt idx="3">
                  <c:v>652361.33333333337</c:v>
                </c:pt>
                <c:pt idx="4">
                  <c:v>704189.16666666698</c:v>
                </c:pt>
                <c:pt idx="5">
                  <c:v>756017</c:v>
                </c:pt>
                <c:pt idx="6">
                  <c:v>807844.83333333337</c:v>
                </c:pt>
                <c:pt idx="7">
                  <c:v>859672.66666666698</c:v>
                </c:pt>
                <c:pt idx="8">
                  <c:v>911500.5</c:v>
                </c:pt>
                <c:pt idx="9">
                  <c:v>963328.33333333337</c:v>
                </c:pt>
              </c:numCache>
            </c:numRef>
          </c:val>
          <c:smooth val="0"/>
        </c:ser>
        <c:ser>
          <c:idx val="5"/>
          <c:order val="2"/>
          <c:tx>
            <c:strRef>
              <c:f>Graphs!$C$11</c:f>
              <c:strCache>
                <c:ptCount val="1"/>
                <c:pt idx="0">
                  <c:v>Income</c:v>
                </c:pt>
              </c:strCache>
            </c:strRef>
          </c:tx>
          <c:spPr>
            <a:ln w="76200" cmpd="sng"/>
          </c:spPr>
          <c:marker>
            <c:symbol val="none"/>
          </c:marker>
          <c:val>
            <c:numRef>
              <c:f>Graphs!$D$11:$M$11</c:f>
              <c:numCache>
                <c:formatCode>#,##0</c:formatCode>
                <c:ptCount val="10"/>
                <c:pt idx="0">
                  <c:v>121365</c:v>
                </c:pt>
                <c:pt idx="1">
                  <c:v>242730</c:v>
                </c:pt>
                <c:pt idx="2">
                  <c:v>364095</c:v>
                </c:pt>
                <c:pt idx="3">
                  <c:v>485460</c:v>
                </c:pt>
                <c:pt idx="4">
                  <c:v>606825</c:v>
                </c:pt>
                <c:pt idx="5">
                  <c:v>728190</c:v>
                </c:pt>
                <c:pt idx="6">
                  <c:v>849555</c:v>
                </c:pt>
                <c:pt idx="7">
                  <c:v>970920</c:v>
                </c:pt>
                <c:pt idx="8">
                  <c:v>1092285</c:v>
                </c:pt>
                <c:pt idx="9">
                  <c:v>1213650</c:v>
                </c:pt>
              </c:numCache>
            </c:numRef>
          </c:val>
          <c:smooth val="0"/>
        </c:ser>
        <c:dLbls>
          <c:showLegendKey val="0"/>
          <c:showVal val="0"/>
          <c:showCatName val="0"/>
          <c:showSerName val="0"/>
          <c:showPercent val="0"/>
          <c:showBubbleSize val="0"/>
        </c:dLbls>
        <c:smooth val="0"/>
        <c:axId val="224857240"/>
        <c:axId val="224857632"/>
      </c:lineChart>
      <c:catAx>
        <c:axId val="224857240"/>
        <c:scaling>
          <c:orientation val="minMax"/>
        </c:scaling>
        <c:delete val="0"/>
        <c:axPos val="b"/>
        <c:title>
          <c:tx>
            <c:rich>
              <a:bodyPr/>
              <a:lstStyle/>
              <a:p>
                <a:pPr>
                  <a:defRPr/>
                </a:pPr>
                <a:r>
                  <a:rPr lang="en-US"/>
                  <a:t>Course</a:t>
                </a:r>
                <a:r>
                  <a:rPr lang="en-US" baseline="0"/>
                  <a:t> Years</a:t>
                </a:r>
                <a:endParaRPr lang="en-US"/>
              </a:p>
            </c:rich>
          </c:tx>
          <c:layout/>
          <c:overlay val="0"/>
        </c:title>
        <c:majorTickMark val="none"/>
        <c:minorTickMark val="none"/>
        <c:tickLblPos val="nextTo"/>
        <c:crossAx val="224857632"/>
        <c:crosses val="autoZero"/>
        <c:auto val="1"/>
        <c:lblAlgn val="ctr"/>
        <c:lblOffset val="100"/>
        <c:noMultiLvlLbl val="0"/>
      </c:catAx>
      <c:valAx>
        <c:axId val="224857632"/>
        <c:scaling>
          <c:orientation val="minMax"/>
        </c:scaling>
        <c:delete val="0"/>
        <c:axPos val="l"/>
        <c:majorGridlines/>
        <c:numFmt formatCode="&quot;$&quot;#,##0" sourceLinked="0"/>
        <c:majorTickMark val="none"/>
        <c:minorTickMark val="none"/>
        <c:tickLblPos val="nextTo"/>
        <c:crossAx val="224857240"/>
        <c:crosses val="autoZero"/>
        <c:crossBetween val="between"/>
      </c:valAx>
      <c:spPr>
        <a:ln>
          <a:solidFill>
            <a:srgbClr val="4F81BD"/>
          </a:solidFill>
        </a:ln>
      </c:spPr>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Cost</a:t>
            </a:r>
            <a:r>
              <a:rPr lang="en-US" baseline="0"/>
              <a:t> Analysis with 165 Students per Year</a:t>
            </a:r>
            <a:endParaRPr lang="en-US"/>
          </a:p>
        </c:rich>
      </c:tx>
      <c:layout/>
      <c:overlay val="0"/>
    </c:title>
    <c:autoTitleDeleted val="0"/>
    <c:plotArea>
      <c:layout/>
      <c:lineChart>
        <c:grouping val="standard"/>
        <c:varyColors val="0"/>
        <c:ser>
          <c:idx val="0"/>
          <c:order val="0"/>
          <c:tx>
            <c:strRef>
              <c:f>Graphs!$C$59</c:f>
              <c:strCache>
                <c:ptCount val="1"/>
                <c:pt idx="0">
                  <c:v>F annualized (total)</c:v>
                </c:pt>
              </c:strCache>
            </c:strRef>
          </c:tx>
          <c:spPr>
            <a:ln w="76200" cmpd="sng"/>
          </c:spPr>
          <c:marker>
            <c:symbol val="none"/>
          </c:marker>
          <c:val>
            <c:numRef>
              <c:f>Graphs!$D$59:$M$59</c:f>
              <c:numCache>
                <c:formatCode>0</c:formatCode>
                <c:ptCount val="10"/>
                <c:pt idx="0">
                  <c:v>445050</c:v>
                </c:pt>
                <c:pt idx="1">
                  <c:v>445050</c:v>
                </c:pt>
                <c:pt idx="2">
                  <c:v>445050</c:v>
                </c:pt>
                <c:pt idx="3">
                  <c:v>445050</c:v>
                </c:pt>
                <c:pt idx="4">
                  <c:v>445050</c:v>
                </c:pt>
                <c:pt idx="5">
                  <c:v>445050</c:v>
                </c:pt>
                <c:pt idx="6">
                  <c:v>445050</c:v>
                </c:pt>
                <c:pt idx="7">
                  <c:v>445050</c:v>
                </c:pt>
                <c:pt idx="8">
                  <c:v>445050</c:v>
                </c:pt>
                <c:pt idx="9">
                  <c:v>445050</c:v>
                </c:pt>
              </c:numCache>
            </c:numRef>
          </c:val>
          <c:smooth val="0"/>
        </c:ser>
        <c:ser>
          <c:idx val="2"/>
          <c:order val="1"/>
          <c:tx>
            <c:strRef>
              <c:f>Graphs!$C$61</c:f>
              <c:strCache>
                <c:ptCount val="1"/>
                <c:pt idx="0">
                  <c:v>TC=F+VxN</c:v>
                </c:pt>
              </c:strCache>
            </c:strRef>
          </c:tx>
          <c:spPr>
            <a:ln w="76200" cmpd="sng"/>
          </c:spPr>
          <c:marker>
            <c:symbol val="none"/>
          </c:marker>
          <c:val>
            <c:numRef>
              <c:f>Graphs!$D$61:$M$61</c:f>
              <c:numCache>
                <c:formatCode>0</c:formatCode>
                <c:ptCount val="10"/>
                <c:pt idx="0">
                  <c:v>504025.95</c:v>
                </c:pt>
                <c:pt idx="1">
                  <c:v>563001.9</c:v>
                </c:pt>
                <c:pt idx="2">
                  <c:v>621977.85</c:v>
                </c:pt>
                <c:pt idx="3">
                  <c:v>680953.8</c:v>
                </c:pt>
                <c:pt idx="4">
                  <c:v>739929.75</c:v>
                </c:pt>
                <c:pt idx="5">
                  <c:v>798905.7</c:v>
                </c:pt>
                <c:pt idx="6">
                  <c:v>857881.65</c:v>
                </c:pt>
                <c:pt idx="7">
                  <c:v>916857.60000000009</c:v>
                </c:pt>
                <c:pt idx="8">
                  <c:v>975833.55</c:v>
                </c:pt>
                <c:pt idx="9">
                  <c:v>1034809.5</c:v>
                </c:pt>
              </c:numCache>
            </c:numRef>
          </c:val>
          <c:smooth val="0"/>
        </c:ser>
        <c:ser>
          <c:idx val="5"/>
          <c:order val="2"/>
          <c:tx>
            <c:strRef>
              <c:f>Graphs!$C$64</c:f>
              <c:strCache>
                <c:ptCount val="1"/>
                <c:pt idx="0">
                  <c:v>Income</c:v>
                </c:pt>
              </c:strCache>
            </c:strRef>
          </c:tx>
          <c:spPr>
            <a:ln w="76200"/>
          </c:spPr>
          <c:marker>
            <c:symbol val="none"/>
          </c:marker>
          <c:dPt>
            <c:idx val="8"/>
            <c:bubble3D val="0"/>
          </c:dPt>
          <c:val>
            <c:numRef>
              <c:f>Graphs!$D$64:$M$64</c:f>
              <c:numCache>
                <c:formatCode>General</c:formatCode>
                <c:ptCount val="10"/>
                <c:pt idx="0">
                  <c:v>138105</c:v>
                </c:pt>
                <c:pt idx="1">
                  <c:v>276210</c:v>
                </c:pt>
                <c:pt idx="2">
                  <c:v>414315</c:v>
                </c:pt>
                <c:pt idx="3">
                  <c:v>552420</c:v>
                </c:pt>
                <c:pt idx="4">
                  <c:v>690525</c:v>
                </c:pt>
                <c:pt idx="5">
                  <c:v>828630</c:v>
                </c:pt>
                <c:pt idx="6">
                  <c:v>966735</c:v>
                </c:pt>
                <c:pt idx="7">
                  <c:v>1104840</c:v>
                </c:pt>
                <c:pt idx="8">
                  <c:v>1242945</c:v>
                </c:pt>
                <c:pt idx="9">
                  <c:v>1381050</c:v>
                </c:pt>
              </c:numCache>
            </c:numRef>
          </c:val>
          <c:smooth val="0"/>
        </c:ser>
        <c:dLbls>
          <c:showLegendKey val="0"/>
          <c:showVal val="0"/>
          <c:showCatName val="0"/>
          <c:showSerName val="0"/>
          <c:showPercent val="0"/>
          <c:showBubbleSize val="0"/>
        </c:dLbls>
        <c:smooth val="0"/>
        <c:axId val="307733864"/>
        <c:axId val="307734256"/>
      </c:lineChart>
      <c:catAx>
        <c:axId val="307733864"/>
        <c:scaling>
          <c:orientation val="minMax"/>
        </c:scaling>
        <c:delete val="0"/>
        <c:axPos val="b"/>
        <c:title>
          <c:tx>
            <c:rich>
              <a:bodyPr/>
              <a:lstStyle/>
              <a:p>
                <a:pPr>
                  <a:defRPr/>
                </a:pPr>
                <a:r>
                  <a:rPr lang="en-US"/>
                  <a:t>Course</a:t>
                </a:r>
                <a:r>
                  <a:rPr lang="en-US" baseline="0"/>
                  <a:t> Years</a:t>
                </a:r>
                <a:endParaRPr lang="en-US"/>
              </a:p>
            </c:rich>
          </c:tx>
          <c:layout/>
          <c:overlay val="0"/>
        </c:title>
        <c:majorTickMark val="none"/>
        <c:minorTickMark val="none"/>
        <c:tickLblPos val="nextTo"/>
        <c:crossAx val="307734256"/>
        <c:crosses val="autoZero"/>
        <c:auto val="1"/>
        <c:lblAlgn val="ctr"/>
        <c:lblOffset val="100"/>
        <c:noMultiLvlLbl val="0"/>
      </c:catAx>
      <c:valAx>
        <c:axId val="307734256"/>
        <c:scaling>
          <c:orientation val="minMax"/>
        </c:scaling>
        <c:delete val="0"/>
        <c:axPos val="l"/>
        <c:majorGridlines/>
        <c:numFmt formatCode="&quot;$&quot;#,##0" sourceLinked="0"/>
        <c:majorTickMark val="none"/>
        <c:minorTickMark val="none"/>
        <c:tickLblPos val="nextTo"/>
        <c:crossAx val="307733864"/>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Cost</a:t>
            </a:r>
            <a:r>
              <a:rPr lang="en-US" baseline="0"/>
              <a:t> Analysis with 185 Students per Year</a:t>
            </a:r>
            <a:endParaRPr lang="en-US"/>
          </a:p>
        </c:rich>
      </c:tx>
      <c:layout/>
      <c:overlay val="0"/>
    </c:title>
    <c:autoTitleDeleted val="0"/>
    <c:plotArea>
      <c:layout/>
      <c:lineChart>
        <c:grouping val="standard"/>
        <c:varyColors val="0"/>
        <c:ser>
          <c:idx val="0"/>
          <c:order val="0"/>
          <c:tx>
            <c:strRef>
              <c:f>Graphs!$C$106</c:f>
              <c:strCache>
                <c:ptCount val="1"/>
                <c:pt idx="0">
                  <c:v>F annualized (total)</c:v>
                </c:pt>
              </c:strCache>
            </c:strRef>
          </c:tx>
          <c:spPr>
            <a:ln w="76200"/>
          </c:spPr>
          <c:marker>
            <c:symbol val="none"/>
          </c:marker>
          <c:val>
            <c:numRef>
              <c:f>Graphs!$D$106:$M$106</c:f>
              <c:numCache>
                <c:formatCode>0</c:formatCode>
                <c:ptCount val="10"/>
                <c:pt idx="0">
                  <c:v>445050</c:v>
                </c:pt>
                <c:pt idx="1">
                  <c:v>445050</c:v>
                </c:pt>
                <c:pt idx="2">
                  <c:v>445050</c:v>
                </c:pt>
                <c:pt idx="3">
                  <c:v>445050</c:v>
                </c:pt>
                <c:pt idx="4">
                  <c:v>445050</c:v>
                </c:pt>
                <c:pt idx="5">
                  <c:v>445050</c:v>
                </c:pt>
                <c:pt idx="6">
                  <c:v>445050</c:v>
                </c:pt>
                <c:pt idx="7">
                  <c:v>445050</c:v>
                </c:pt>
                <c:pt idx="8">
                  <c:v>445050</c:v>
                </c:pt>
                <c:pt idx="9">
                  <c:v>445050</c:v>
                </c:pt>
              </c:numCache>
            </c:numRef>
          </c:val>
          <c:smooth val="0"/>
        </c:ser>
        <c:ser>
          <c:idx val="2"/>
          <c:order val="1"/>
          <c:tx>
            <c:strRef>
              <c:f>Graphs!$C$108</c:f>
              <c:strCache>
                <c:ptCount val="1"/>
                <c:pt idx="0">
                  <c:v>TC=F+VxN</c:v>
                </c:pt>
              </c:strCache>
            </c:strRef>
          </c:tx>
          <c:spPr>
            <a:ln w="76200"/>
          </c:spPr>
          <c:marker>
            <c:symbol val="none"/>
          </c:marker>
          <c:val>
            <c:numRef>
              <c:f>Graphs!$D$108:$M$108</c:f>
              <c:numCache>
                <c:formatCode>0</c:formatCode>
                <c:ptCount val="10"/>
                <c:pt idx="0">
                  <c:v>511174.55</c:v>
                </c:pt>
                <c:pt idx="1">
                  <c:v>577299.1</c:v>
                </c:pt>
                <c:pt idx="2">
                  <c:v>643423.65</c:v>
                </c:pt>
                <c:pt idx="3">
                  <c:v>709548.2</c:v>
                </c:pt>
                <c:pt idx="4">
                  <c:v>775672.75</c:v>
                </c:pt>
                <c:pt idx="5">
                  <c:v>841797.3</c:v>
                </c:pt>
                <c:pt idx="6">
                  <c:v>907921.85</c:v>
                </c:pt>
                <c:pt idx="7">
                  <c:v>974046.4</c:v>
                </c:pt>
                <c:pt idx="8">
                  <c:v>1040170.95</c:v>
                </c:pt>
                <c:pt idx="9">
                  <c:v>1106295.5</c:v>
                </c:pt>
              </c:numCache>
            </c:numRef>
          </c:val>
          <c:smooth val="0"/>
        </c:ser>
        <c:ser>
          <c:idx val="5"/>
          <c:order val="2"/>
          <c:tx>
            <c:strRef>
              <c:f>Graphs!$C$111</c:f>
              <c:strCache>
                <c:ptCount val="1"/>
                <c:pt idx="0">
                  <c:v>Income</c:v>
                </c:pt>
              </c:strCache>
            </c:strRef>
          </c:tx>
          <c:spPr>
            <a:ln w="76200"/>
          </c:spPr>
          <c:marker>
            <c:symbol val="none"/>
          </c:marker>
          <c:val>
            <c:numRef>
              <c:f>Graphs!$D$111:$M$111</c:f>
              <c:numCache>
                <c:formatCode>General</c:formatCode>
                <c:ptCount val="10"/>
                <c:pt idx="0">
                  <c:v>154845</c:v>
                </c:pt>
                <c:pt idx="1">
                  <c:v>309690</c:v>
                </c:pt>
                <c:pt idx="2">
                  <c:v>464535</c:v>
                </c:pt>
                <c:pt idx="3">
                  <c:v>619380</c:v>
                </c:pt>
                <c:pt idx="4">
                  <c:v>774225</c:v>
                </c:pt>
                <c:pt idx="5">
                  <c:v>929070</c:v>
                </c:pt>
                <c:pt idx="6">
                  <c:v>1083915</c:v>
                </c:pt>
                <c:pt idx="7">
                  <c:v>1238760</c:v>
                </c:pt>
                <c:pt idx="8">
                  <c:v>1393605</c:v>
                </c:pt>
                <c:pt idx="9">
                  <c:v>1548450</c:v>
                </c:pt>
              </c:numCache>
            </c:numRef>
          </c:val>
          <c:smooth val="0"/>
        </c:ser>
        <c:dLbls>
          <c:showLegendKey val="0"/>
          <c:showVal val="0"/>
          <c:showCatName val="0"/>
          <c:showSerName val="0"/>
          <c:showPercent val="0"/>
          <c:showBubbleSize val="0"/>
        </c:dLbls>
        <c:smooth val="0"/>
        <c:axId val="307735040"/>
        <c:axId val="307614648"/>
      </c:lineChart>
      <c:catAx>
        <c:axId val="307735040"/>
        <c:scaling>
          <c:orientation val="minMax"/>
        </c:scaling>
        <c:delete val="0"/>
        <c:axPos val="b"/>
        <c:title>
          <c:tx>
            <c:rich>
              <a:bodyPr/>
              <a:lstStyle/>
              <a:p>
                <a:pPr>
                  <a:defRPr/>
                </a:pPr>
                <a:r>
                  <a:rPr lang="en-US"/>
                  <a:t>Course</a:t>
                </a:r>
                <a:r>
                  <a:rPr lang="en-US" baseline="0"/>
                  <a:t> Years</a:t>
                </a:r>
                <a:endParaRPr lang="en-US"/>
              </a:p>
            </c:rich>
          </c:tx>
          <c:layout/>
          <c:overlay val="0"/>
        </c:title>
        <c:majorTickMark val="none"/>
        <c:minorTickMark val="none"/>
        <c:tickLblPos val="nextTo"/>
        <c:crossAx val="307614648"/>
        <c:crosses val="autoZero"/>
        <c:auto val="1"/>
        <c:lblAlgn val="ctr"/>
        <c:lblOffset val="100"/>
        <c:noMultiLvlLbl val="0"/>
      </c:catAx>
      <c:valAx>
        <c:axId val="307614648"/>
        <c:scaling>
          <c:orientation val="minMax"/>
        </c:scaling>
        <c:delete val="0"/>
        <c:axPos val="l"/>
        <c:majorGridlines/>
        <c:numFmt formatCode="&quot;$&quot;#,##0" sourceLinked="0"/>
        <c:majorTickMark val="none"/>
        <c:minorTickMark val="none"/>
        <c:tickLblPos val="nextTo"/>
        <c:crossAx val="307735040"/>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Total</a:t>
            </a:r>
            <a:r>
              <a:rPr lang="en-US" baseline="0"/>
              <a:t> Cost at Various Student Numbers</a:t>
            </a:r>
            <a:endParaRPr lang="en-US"/>
          </a:p>
        </c:rich>
      </c:tx>
      <c:layout/>
      <c:overlay val="0"/>
    </c:title>
    <c:autoTitleDeleted val="0"/>
    <c:plotArea>
      <c:layout/>
      <c:lineChart>
        <c:grouping val="standard"/>
        <c:varyColors val="0"/>
        <c:ser>
          <c:idx val="0"/>
          <c:order val="0"/>
          <c:tx>
            <c:strRef>
              <c:f>Graphs!$C$190</c:f>
              <c:strCache>
                <c:ptCount val="1"/>
                <c:pt idx="0">
                  <c:v>145 Students</c:v>
                </c:pt>
              </c:strCache>
            </c:strRef>
          </c:tx>
          <c:marker>
            <c:symbol val="none"/>
          </c:marker>
          <c:val>
            <c:numRef>
              <c:f>Graphs!$D$190:$M$190</c:f>
              <c:numCache>
                <c:formatCode>#,##0</c:formatCode>
                <c:ptCount val="10"/>
                <c:pt idx="0">
                  <c:v>496877.83333333331</c:v>
                </c:pt>
                <c:pt idx="1">
                  <c:v>548705.66666666698</c:v>
                </c:pt>
                <c:pt idx="2">
                  <c:v>600533.5</c:v>
                </c:pt>
                <c:pt idx="3">
                  <c:v>652361.33333333337</c:v>
                </c:pt>
                <c:pt idx="4">
                  <c:v>704189.16666666698</c:v>
                </c:pt>
                <c:pt idx="5">
                  <c:v>756017</c:v>
                </c:pt>
                <c:pt idx="6">
                  <c:v>807844.83333333337</c:v>
                </c:pt>
                <c:pt idx="7">
                  <c:v>859672.66666666698</c:v>
                </c:pt>
                <c:pt idx="8">
                  <c:v>911500.5</c:v>
                </c:pt>
                <c:pt idx="9">
                  <c:v>963328.33333333337</c:v>
                </c:pt>
              </c:numCache>
            </c:numRef>
          </c:val>
          <c:smooth val="0"/>
        </c:ser>
        <c:ser>
          <c:idx val="1"/>
          <c:order val="1"/>
          <c:tx>
            <c:strRef>
              <c:f>Graphs!$C$191</c:f>
              <c:strCache>
                <c:ptCount val="1"/>
                <c:pt idx="0">
                  <c:v>165 Students</c:v>
                </c:pt>
              </c:strCache>
            </c:strRef>
          </c:tx>
          <c:marker>
            <c:symbol val="none"/>
          </c:marker>
          <c:val>
            <c:numRef>
              <c:f>Graphs!$D$191:$M$191</c:f>
              <c:numCache>
                <c:formatCode>#,##0</c:formatCode>
                <c:ptCount val="10"/>
                <c:pt idx="0">
                  <c:v>504025.95</c:v>
                </c:pt>
                <c:pt idx="1">
                  <c:v>563001.9</c:v>
                </c:pt>
                <c:pt idx="2">
                  <c:v>621977.85</c:v>
                </c:pt>
                <c:pt idx="3">
                  <c:v>680953.8</c:v>
                </c:pt>
                <c:pt idx="4">
                  <c:v>739929.75</c:v>
                </c:pt>
                <c:pt idx="5">
                  <c:v>798905.7</c:v>
                </c:pt>
                <c:pt idx="6">
                  <c:v>857881.65</c:v>
                </c:pt>
                <c:pt idx="7">
                  <c:v>916857.60000000009</c:v>
                </c:pt>
                <c:pt idx="8">
                  <c:v>975833.55</c:v>
                </c:pt>
                <c:pt idx="9">
                  <c:v>1034809.5</c:v>
                </c:pt>
              </c:numCache>
            </c:numRef>
          </c:val>
          <c:smooth val="0"/>
        </c:ser>
        <c:ser>
          <c:idx val="2"/>
          <c:order val="2"/>
          <c:tx>
            <c:strRef>
              <c:f>Graphs!$C$192</c:f>
              <c:strCache>
                <c:ptCount val="1"/>
                <c:pt idx="0">
                  <c:v>185 Students</c:v>
                </c:pt>
              </c:strCache>
            </c:strRef>
          </c:tx>
          <c:marker>
            <c:symbol val="none"/>
          </c:marker>
          <c:val>
            <c:numRef>
              <c:f>Graphs!$D$192:$M$192</c:f>
              <c:numCache>
                <c:formatCode>#,##0</c:formatCode>
                <c:ptCount val="10"/>
                <c:pt idx="0">
                  <c:v>511174.55</c:v>
                </c:pt>
                <c:pt idx="1">
                  <c:v>577299.1</c:v>
                </c:pt>
                <c:pt idx="2">
                  <c:v>643423.65</c:v>
                </c:pt>
                <c:pt idx="3">
                  <c:v>709548.2</c:v>
                </c:pt>
                <c:pt idx="4">
                  <c:v>775672.75</c:v>
                </c:pt>
                <c:pt idx="5">
                  <c:v>841797.3</c:v>
                </c:pt>
                <c:pt idx="6">
                  <c:v>907921.85</c:v>
                </c:pt>
                <c:pt idx="7">
                  <c:v>974046.4</c:v>
                </c:pt>
                <c:pt idx="8">
                  <c:v>1040170.95</c:v>
                </c:pt>
                <c:pt idx="9">
                  <c:v>1106295.5</c:v>
                </c:pt>
              </c:numCache>
            </c:numRef>
          </c:val>
          <c:smooth val="0"/>
        </c:ser>
        <c:dLbls>
          <c:showLegendKey val="0"/>
          <c:showVal val="0"/>
          <c:showCatName val="0"/>
          <c:showSerName val="0"/>
          <c:showPercent val="0"/>
          <c:showBubbleSize val="0"/>
        </c:dLbls>
        <c:smooth val="0"/>
        <c:axId val="307615432"/>
        <c:axId val="307615824"/>
      </c:lineChart>
      <c:catAx>
        <c:axId val="307615432"/>
        <c:scaling>
          <c:orientation val="minMax"/>
        </c:scaling>
        <c:delete val="0"/>
        <c:axPos val="b"/>
        <c:title>
          <c:tx>
            <c:rich>
              <a:bodyPr/>
              <a:lstStyle/>
              <a:p>
                <a:pPr>
                  <a:defRPr/>
                </a:pPr>
                <a:r>
                  <a:rPr lang="en-US"/>
                  <a:t>Years</a:t>
                </a:r>
                <a:r>
                  <a:rPr lang="en-US" baseline="0"/>
                  <a:t>  Class Offered</a:t>
                </a:r>
                <a:endParaRPr lang="en-US"/>
              </a:p>
            </c:rich>
          </c:tx>
          <c:layout/>
          <c:overlay val="0"/>
        </c:title>
        <c:majorTickMark val="none"/>
        <c:minorTickMark val="none"/>
        <c:tickLblPos val="nextTo"/>
        <c:crossAx val="307615824"/>
        <c:crosses val="autoZero"/>
        <c:auto val="1"/>
        <c:lblAlgn val="ctr"/>
        <c:lblOffset val="100"/>
        <c:noMultiLvlLbl val="0"/>
      </c:catAx>
      <c:valAx>
        <c:axId val="307615824"/>
        <c:scaling>
          <c:orientation val="minMax"/>
        </c:scaling>
        <c:delete val="0"/>
        <c:axPos val="l"/>
        <c:majorGridlines/>
        <c:numFmt formatCode="&quot;$&quot;#,##0" sourceLinked="0"/>
        <c:majorTickMark val="none"/>
        <c:minorTickMark val="none"/>
        <c:tickLblPos val="nextTo"/>
        <c:crossAx val="307615432"/>
        <c:crosses val="autoZero"/>
        <c:crossBetween val="between"/>
      </c:valAx>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0.47263</cdr:x>
      <cdr:y>0.19664</cdr:y>
    </cdr:from>
    <cdr:to>
      <cdr:x>0.47659</cdr:x>
      <cdr:y>0.74909</cdr:y>
    </cdr:to>
    <cdr:cxnSp macro="">
      <cdr:nvCxnSpPr>
        <cdr:cNvPr id="3" name="Straight Arrow Connector 2"/>
        <cdr:cNvCxnSpPr/>
      </cdr:nvCxnSpPr>
      <cdr:spPr>
        <a:xfrm xmlns:a="http://schemas.openxmlformats.org/drawingml/2006/main" flipH="1">
          <a:off x="2593041" y="476624"/>
          <a:ext cx="21712" cy="1339006"/>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0.34763</cdr:x>
      <cdr:y>0.19664</cdr:y>
    </cdr:from>
    <cdr:to>
      <cdr:x>0.61846</cdr:x>
      <cdr:y>0.29096</cdr:y>
    </cdr:to>
    <cdr:sp macro="" textlink="">
      <cdr:nvSpPr>
        <cdr:cNvPr id="5" name="Rectangle 4"/>
        <cdr:cNvSpPr/>
      </cdr:nvSpPr>
      <cdr:spPr>
        <a:xfrm xmlns:a="http://schemas.openxmlformats.org/drawingml/2006/main">
          <a:off x="1907241" y="476624"/>
          <a:ext cx="1485900" cy="228599"/>
        </a:xfrm>
        <a:prstGeom xmlns:a="http://schemas.openxmlformats.org/drawingml/2006/main" prst="rect">
          <a:avLst/>
        </a:prstGeom>
        <a:solidFill xmlns:a="http://schemas.openxmlformats.org/drawingml/2006/main">
          <a:srgbClr val="FFFFFF"/>
        </a:solidFill>
        <a:ln xmlns:a="http://schemas.openxmlformats.org/drawingml/2006/mai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800"/>
            <a:t>Break Even Point 928</a:t>
          </a:r>
          <a:r>
            <a:rPr lang="en-US" sz="800" baseline="0"/>
            <a:t> </a:t>
          </a:r>
          <a:r>
            <a:rPr lang="en-US" sz="800"/>
            <a:t>Students</a:t>
          </a:r>
        </a:p>
      </cdr:txBody>
    </cdr:sp>
  </cdr:relSizeAnchor>
</c:userShapes>
</file>

<file path=word/drawings/drawing2.xml><?xml version="1.0" encoding="utf-8"?>
<c:userShapes xmlns:c="http://schemas.openxmlformats.org/drawingml/2006/chart">
  <cdr:relSizeAnchor xmlns:cdr="http://schemas.openxmlformats.org/drawingml/2006/chartDrawing">
    <cdr:from>
      <cdr:x>0.35417</cdr:x>
      <cdr:y>0.29785</cdr:y>
    </cdr:from>
    <cdr:to>
      <cdr:x>0.53727</cdr:x>
      <cdr:y>0.40408</cdr:y>
    </cdr:to>
    <cdr:sp macro="" textlink="">
      <cdr:nvSpPr>
        <cdr:cNvPr id="3" name="Rectangle 2"/>
        <cdr:cNvSpPr/>
      </cdr:nvSpPr>
      <cdr:spPr>
        <a:xfrm xmlns:a="http://schemas.openxmlformats.org/drawingml/2006/main">
          <a:off x="1943100" y="640976"/>
          <a:ext cx="1004560" cy="228600"/>
        </a:xfrm>
        <a:prstGeom xmlns:a="http://schemas.openxmlformats.org/drawingml/2006/main" prst="rect">
          <a:avLst/>
        </a:prstGeom>
        <a:solidFill xmlns:a="http://schemas.openxmlformats.org/drawingml/2006/main">
          <a:srgbClr val="FFFFFF"/>
        </a:solidFill>
        <a:ln xmlns:a="http://schemas.openxmlformats.org/drawingml/2006/mai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500"/>
            <a:t>Break Even Point 928</a:t>
          </a:r>
          <a:r>
            <a:rPr lang="en-US" sz="500" baseline="0"/>
            <a:t> </a:t>
          </a:r>
          <a:r>
            <a:rPr lang="en-US" sz="500"/>
            <a:t>Students</a:t>
          </a:r>
        </a:p>
      </cdr:txBody>
    </cdr:sp>
  </cdr:relSizeAnchor>
  <cdr:relSizeAnchor xmlns:cdr="http://schemas.openxmlformats.org/drawingml/2006/chartDrawing">
    <cdr:from>
      <cdr:x>0.4375</cdr:x>
      <cdr:y>0.40408</cdr:y>
    </cdr:from>
    <cdr:to>
      <cdr:x>0.4375</cdr:x>
      <cdr:y>0.72275</cdr:y>
    </cdr:to>
    <cdr:cxnSp macro="">
      <cdr:nvCxnSpPr>
        <cdr:cNvPr id="5" name="Straight Arrow Connector 4"/>
        <cdr:cNvCxnSpPr/>
      </cdr:nvCxnSpPr>
      <cdr:spPr>
        <a:xfrm xmlns:a="http://schemas.openxmlformats.org/drawingml/2006/main">
          <a:off x="2400300" y="869576"/>
          <a:ext cx="0" cy="685800"/>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0.29167</cdr:x>
      <cdr:y>0.21682</cdr:y>
    </cdr:from>
    <cdr:to>
      <cdr:x>0.5</cdr:x>
      <cdr:y>0.2964</cdr:y>
    </cdr:to>
    <cdr:sp macro="" textlink="">
      <cdr:nvSpPr>
        <cdr:cNvPr id="3" name="Rectangle 2"/>
        <cdr:cNvSpPr/>
      </cdr:nvSpPr>
      <cdr:spPr>
        <a:xfrm xmlns:a="http://schemas.openxmlformats.org/drawingml/2006/main">
          <a:off x="1600200" y="550582"/>
          <a:ext cx="1143000" cy="202082"/>
        </a:xfrm>
        <a:prstGeom xmlns:a="http://schemas.openxmlformats.org/drawingml/2006/main" prst="rect">
          <a:avLst/>
        </a:prstGeom>
        <a:solidFill xmlns:a="http://schemas.openxmlformats.org/drawingml/2006/main">
          <a:srgbClr val="FFFFFF"/>
        </a:solidFill>
        <a:ln xmlns:a="http://schemas.openxmlformats.org/drawingml/2006/main"/>
      </cdr:spPr>
      <cdr:style>
        <a:lnRef xmlns:a="http://schemas.openxmlformats.org/drawingml/2006/main" idx="1">
          <a:schemeClr val="accent4"/>
        </a:lnRef>
        <a:fillRef xmlns:a="http://schemas.openxmlformats.org/drawingml/2006/main" idx="2">
          <a:schemeClr val="accent4"/>
        </a:fillRef>
        <a:effectRef xmlns:a="http://schemas.openxmlformats.org/drawingml/2006/main" idx="1">
          <a:schemeClr val="accent4"/>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600"/>
            <a:t>Break Even Point 928</a:t>
          </a:r>
          <a:r>
            <a:rPr lang="en-US" sz="600" baseline="0"/>
            <a:t> </a:t>
          </a:r>
          <a:r>
            <a:rPr lang="en-US" sz="600"/>
            <a:t>Students</a:t>
          </a:r>
        </a:p>
      </cdr:txBody>
    </cdr:sp>
  </cdr:relSizeAnchor>
  <cdr:relSizeAnchor xmlns:cdr="http://schemas.openxmlformats.org/drawingml/2006/chartDrawing">
    <cdr:from>
      <cdr:x>0.39583</cdr:x>
      <cdr:y>0.2964</cdr:y>
    </cdr:from>
    <cdr:to>
      <cdr:x>0.39583</cdr:x>
      <cdr:y>0.75695</cdr:y>
    </cdr:to>
    <cdr:cxnSp macro="">
      <cdr:nvCxnSpPr>
        <cdr:cNvPr id="5" name="Straight Arrow Connector 4"/>
        <cdr:cNvCxnSpPr>
          <a:stCxn xmlns:a="http://schemas.openxmlformats.org/drawingml/2006/main" id="3" idx="2"/>
        </cdr:cNvCxnSpPr>
      </cdr:nvCxnSpPr>
      <cdr:spPr>
        <a:xfrm xmlns:a="http://schemas.openxmlformats.org/drawingml/2006/main">
          <a:off x="2171700" y="752664"/>
          <a:ext cx="0" cy="1169518"/>
        </a:xfrm>
        <a:prstGeom xmlns:a="http://schemas.openxmlformats.org/drawingml/2006/main" prst="straightConnector1">
          <a:avLst/>
        </a:prstGeom>
        <a:ln xmlns:a="http://schemas.openxmlformats.org/drawingml/2006/main">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BC9C986-C953-447C-B8FA-41125796ABB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DBB5D-AD63-46AF-9014-3C31F4EF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1754</Words>
  <Characters>10001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Showers</dc:creator>
  <cp:lastModifiedBy>Burrell, Renee</cp:lastModifiedBy>
  <cp:revision>3</cp:revision>
  <dcterms:created xsi:type="dcterms:W3CDTF">2015-04-15T19:18:00Z</dcterms:created>
  <dcterms:modified xsi:type="dcterms:W3CDTF">2015-04-22T19:41:00Z</dcterms:modified>
</cp:coreProperties>
</file>